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Borders>
          <w:top w:val="single" w:sz="4" w:space="0" w:color="auto"/>
          <w:bottom w:val="single" w:sz="4" w:space="0" w:color="auto"/>
        </w:tblBorders>
        <w:tblLayout w:type="fixed"/>
        <w:tblLook w:val="04A0" w:firstRow="1" w:lastRow="0" w:firstColumn="1" w:lastColumn="0" w:noHBand="0" w:noVBand="1"/>
      </w:tblPr>
      <w:tblGrid>
        <w:gridCol w:w="1668"/>
        <w:gridCol w:w="6378"/>
        <w:gridCol w:w="1701"/>
      </w:tblGrid>
      <w:tr w:rsidR="00A93168" w14:paraId="4E56161C" w14:textId="77777777" w:rsidTr="000D7E9C">
        <w:trPr>
          <w:trHeight w:val="843"/>
        </w:trPr>
        <w:tc>
          <w:tcPr>
            <w:tcW w:w="1668" w:type="dxa"/>
            <w:shd w:val="clear" w:color="auto" w:fill="auto"/>
            <w:vAlign w:val="center"/>
          </w:tcPr>
          <w:p w14:paraId="215DB658" w14:textId="77777777" w:rsidR="00A93168" w:rsidRDefault="00A93168" w:rsidP="000D7E9C">
            <w:pPr>
              <w:shd w:val="clear" w:color="auto" w:fill="FFFFFF"/>
              <w:tabs>
                <w:tab w:val="left" w:pos="709"/>
                <w:tab w:val="left" w:pos="851"/>
                <w:tab w:val="left" w:pos="993"/>
              </w:tabs>
              <w:ind w:left="0" w:firstLine="0"/>
              <w:jc w:val="center"/>
              <w:rPr>
                <w:rFonts w:ascii="Verdana" w:hAnsi="Verdana" w:cs="Arial"/>
                <w:b/>
                <w:bCs/>
                <w:color w:val="auto"/>
                <w:sz w:val="2"/>
                <w:szCs w:val="2"/>
              </w:rPr>
            </w:pPr>
            <w:bookmarkStart w:id="0" w:name="_Hlk144952840"/>
            <w:bookmarkEnd w:id="0"/>
            <w:r>
              <w:rPr>
                <w:rFonts w:ascii="Verdana" w:hAnsi="Verdana" w:cs="Arial"/>
                <w:color w:val="auto"/>
              </w:rPr>
              <w:t xml:space="preserve">   </w:t>
            </w:r>
            <w:hyperlink r:id="rId8" w:history="1">
              <w:r w:rsidRPr="00B8793D">
                <w:rPr>
                  <w:rFonts w:ascii="Verdana" w:hAnsi="Verdana" w:cs="Arial"/>
                  <w:color w:val="auto"/>
                </w:rPr>
                <w:object w:dxaOrig="1200" w:dyaOrig="900" w14:anchorId="75715B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48pt" o:ole="">
                    <v:imagedata r:id="rId9" o:title=""/>
                  </v:shape>
                  <o:OLEObject Type="Embed" ProgID="PBrush" ShapeID="_x0000_i1025" DrawAspect="Content" ObjectID="_1760723537" r:id="rId10"/>
                </w:object>
              </w:r>
            </w:hyperlink>
          </w:p>
        </w:tc>
        <w:tc>
          <w:tcPr>
            <w:tcW w:w="6378" w:type="dxa"/>
            <w:shd w:val="clear" w:color="auto" w:fill="auto"/>
          </w:tcPr>
          <w:p w14:paraId="2329062B" w14:textId="77777777" w:rsidR="00A93168" w:rsidRDefault="00A93168" w:rsidP="000D7E9C">
            <w:pPr>
              <w:shd w:val="clear" w:color="auto" w:fill="FFFFFF"/>
              <w:tabs>
                <w:tab w:val="left" w:pos="709"/>
                <w:tab w:val="left" w:pos="851"/>
                <w:tab w:val="left" w:pos="993"/>
              </w:tabs>
              <w:ind w:left="0" w:firstLine="0"/>
              <w:jc w:val="right"/>
              <w:rPr>
                <w:rFonts w:ascii="Verdana" w:hAnsi="Verdana" w:cs="Arial"/>
                <w:b/>
                <w:bCs/>
                <w:color w:val="auto"/>
                <w:sz w:val="21"/>
                <w:szCs w:val="21"/>
              </w:rPr>
            </w:pPr>
            <w:r>
              <w:rPr>
                <w:rFonts w:ascii="Verdana" w:hAnsi="Verdana" w:cs="Arial"/>
                <w:b/>
                <w:bCs/>
                <w:color w:val="auto"/>
                <w:sz w:val="21"/>
                <w:szCs w:val="21"/>
              </w:rPr>
              <w:t>Pakistan Journal of Humanities and Social Sciences</w:t>
            </w:r>
          </w:p>
          <w:p w14:paraId="77DE5BEF" w14:textId="77777777" w:rsidR="00A93168" w:rsidRDefault="00A93168" w:rsidP="000D7E9C">
            <w:pPr>
              <w:shd w:val="clear" w:color="auto" w:fill="FFFFFF"/>
              <w:tabs>
                <w:tab w:val="left" w:pos="709"/>
                <w:tab w:val="left" w:pos="851"/>
                <w:tab w:val="left" w:pos="993"/>
              </w:tabs>
              <w:ind w:left="0" w:firstLine="0"/>
              <w:jc w:val="center"/>
              <w:rPr>
                <w:rFonts w:ascii="Verdana" w:hAnsi="Verdana" w:cs="Arial"/>
                <w:b/>
                <w:bCs/>
                <w:color w:val="auto"/>
                <w:sz w:val="20"/>
                <w:szCs w:val="10"/>
              </w:rPr>
            </w:pPr>
          </w:p>
          <w:p w14:paraId="2879E87F" w14:textId="7ADDEA3C" w:rsidR="00A93168" w:rsidRDefault="00A93168" w:rsidP="000D7E9C">
            <w:pPr>
              <w:shd w:val="clear" w:color="auto" w:fill="FFFFFF"/>
              <w:tabs>
                <w:tab w:val="left" w:pos="709"/>
                <w:tab w:val="left" w:pos="851"/>
                <w:tab w:val="left" w:pos="993"/>
              </w:tabs>
              <w:ind w:left="0" w:firstLine="0"/>
              <w:jc w:val="center"/>
              <w:rPr>
                <w:rFonts w:ascii="Verdana" w:hAnsi="Verdana" w:cs="Arial"/>
                <w:b/>
                <w:bCs/>
                <w:color w:val="auto"/>
                <w:sz w:val="18"/>
                <w:szCs w:val="18"/>
              </w:rPr>
            </w:pPr>
            <w:r>
              <w:rPr>
                <w:rFonts w:ascii="Verdana" w:hAnsi="Verdana" w:cs="Arial"/>
                <w:b/>
                <w:bCs/>
                <w:color w:val="auto"/>
                <w:sz w:val="18"/>
                <w:szCs w:val="18"/>
              </w:rPr>
              <w:t>Volume 11, Number 03, 2023, Pages 3</w:t>
            </w:r>
            <w:r w:rsidR="0071744D">
              <w:rPr>
                <w:rFonts w:ascii="Verdana" w:hAnsi="Verdana" w:cs="Arial"/>
                <w:b/>
                <w:bCs/>
                <w:color w:val="auto"/>
                <w:sz w:val="18"/>
                <w:szCs w:val="18"/>
              </w:rPr>
              <w:t>60</w:t>
            </w:r>
            <w:r w:rsidR="00070ED3">
              <w:rPr>
                <w:rFonts w:ascii="Verdana" w:hAnsi="Verdana" w:cs="Arial"/>
                <w:b/>
                <w:bCs/>
                <w:color w:val="auto"/>
                <w:sz w:val="18"/>
                <w:szCs w:val="18"/>
              </w:rPr>
              <w:t>9</w:t>
            </w:r>
            <w:r w:rsidRPr="00253C3E">
              <w:rPr>
                <w:rFonts w:ascii="Verdana" w:hAnsi="Verdana" w:cs="Arial"/>
                <w:b/>
                <w:bCs/>
                <w:color w:val="auto"/>
                <w:sz w:val="18"/>
                <w:szCs w:val="18"/>
              </w:rPr>
              <w:t>–</w:t>
            </w:r>
            <w:r w:rsidR="007213B2">
              <w:rPr>
                <w:rFonts w:ascii="Verdana" w:hAnsi="Verdana" w:cs="Arial"/>
                <w:b/>
                <w:bCs/>
                <w:color w:val="auto"/>
                <w:sz w:val="18"/>
                <w:szCs w:val="18"/>
              </w:rPr>
              <w:t>3616</w:t>
            </w:r>
          </w:p>
          <w:p w14:paraId="67D90F99" w14:textId="77777777" w:rsidR="00A93168" w:rsidRDefault="00A93168" w:rsidP="000D7E9C">
            <w:pPr>
              <w:shd w:val="clear" w:color="auto" w:fill="FFFFFF"/>
              <w:tabs>
                <w:tab w:val="left" w:pos="709"/>
                <w:tab w:val="left" w:pos="851"/>
                <w:tab w:val="left" w:pos="993"/>
              </w:tabs>
              <w:ind w:left="0" w:firstLine="0"/>
              <w:jc w:val="center"/>
              <w:rPr>
                <w:rFonts w:ascii="Verdana" w:hAnsi="Verdana" w:cs="Arial"/>
                <w:b/>
                <w:bCs/>
                <w:color w:val="auto"/>
                <w:sz w:val="18"/>
                <w:szCs w:val="18"/>
              </w:rPr>
            </w:pPr>
            <w:r>
              <w:rPr>
                <w:rFonts w:ascii="Verdana" w:hAnsi="Verdana" w:cs="Arial"/>
                <w:b/>
                <w:bCs/>
                <w:color w:val="auto"/>
                <w:sz w:val="18"/>
                <w:szCs w:val="18"/>
              </w:rPr>
              <w:t xml:space="preserve">Journal Homepage: </w:t>
            </w:r>
          </w:p>
          <w:p w14:paraId="0D385B05" w14:textId="77777777" w:rsidR="00A93168" w:rsidRDefault="00000000" w:rsidP="000D7E9C">
            <w:pPr>
              <w:shd w:val="clear" w:color="auto" w:fill="FFFFFF"/>
              <w:tabs>
                <w:tab w:val="left" w:pos="709"/>
                <w:tab w:val="left" w:pos="851"/>
                <w:tab w:val="left" w:pos="993"/>
              </w:tabs>
              <w:ind w:left="0" w:firstLine="0"/>
              <w:jc w:val="center"/>
              <w:rPr>
                <w:rFonts w:ascii="Verdana" w:hAnsi="Verdana" w:cs="Arial"/>
                <w:b/>
                <w:bCs/>
                <w:color w:val="auto"/>
              </w:rPr>
            </w:pPr>
            <w:hyperlink r:id="rId11" w:history="1">
              <w:r w:rsidR="00A93168">
                <w:rPr>
                  <w:rStyle w:val="Hyperlink"/>
                  <w:rFonts w:ascii="Verdana" w:hAnsi="Verdana"/>
                  <w:color w:val="auto"/>
                  <w:sz w:val="14"/>
                  <w:szCs w:val="14"/>
                </w:rPr>
                <w:t>https://journals.internationalrasd.org/index.php/pjhss</w:t>
              </w:r>
            </w:hyperlink>
          </w:p>
        </w:tc>
        <w:tc>
          <w:tcPr>
            <w:tcW w:w="1701" w:type="dxa"/>
            <w:shd w:val="clear" w:color="auto" w:fill="auto"/>
          </w:tcPr>
          <w:p w14:paraId="46087AA6" w14:textId="77777777" w:rsidR="00A93168" w:rsidRDefault="00A93168" w:rsidP="000D7E9C">
            <w:pPr>
              <w:shd w:val="clear" w:color="auto" w:fill="FFFFFF"/>
              <w:tabs>
                <w:tab w:val="left" w:pos="709"/>
                <w:tab w:val="left" w:pos="851"/>
                <w:tab w:val="left" w:pos="993"/>
              </w:tabs>
              <w:ind w:left="0" w:firstLine="0"/>
              <w:jc w:val="right"/>
              <w:rPr>
                <w:rFonts w:ascii="Verdana" w:hAnsi="Verdana" w:cs="Arial"/>
                <w:b/>
                <w:bCs/>
                <w:color w:val="auto"/>
                <w:szCs w:val="14"/>
              </w:rPr>
            </w:pPr>
            <w:r w:rsidRPr="00B8793D">
              <w:rPr>
                <w:rFonts w:ascii="Verdana" w:hAnsi="Verdana" w:cs="Arial"/>
                <w:b/>
                <w:noProof/>
                <w:color w:val="auto"/>
                <w:szCs w:val="14"/>
              </w:rPr>
              <w:drawing>
                <wp:inline distT="0" distB="0" distL="0" distR="0" wp14:anchorId="68604257" wp14:editId="4FDDFD5D">
                  <wp:extent cx="1009650" cy="771525"/>
                  <wp:effectExtent l="0" t="0" r="0" b="9525"/>
                  <wp:docPr id="2" name="Picture 4" descr="C:\Users\furru\Dropbox\PJHSS\PJHSS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C:\Users\furru\Dropbox\PJHSS\PJHSS1.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650" cy="771525"/>
                          </a:xfrm>
                          <a:prstGeom prst="rect">
                            <a:avLst/>
                          </a:prstGeom>
                          <a:noFill/>
                          <a:ln>
                            <a:noFill/>
                          </a:ln>
                        </pic:spPr>
                      </pic:pic>
                    </a:graphicData>
                  </a:graphic>
                </wp:inline>
              </w:drawing>
            </w:r>
          </w:p>
        </w:tc>
      </w:tr>
    </w:tbl>
    <w:p w14:paraId="6C60AA31" w14:textId="55853C29" w:rsidR="0071744D" w:rsidRDefault="00002CEC" w:rsidP="00702FF2">
      <w:pPr>
        <w:jc w:val="center"/>
        <w:rPr>
          <w:rFonts w:ascii="Verdana" w:hAnsi="Verdana"/>
          <w:b/>
          <w:bCs/>
          <w:color w:val="auto"/>
          <w:sz w:val="22"/>
          <w:szCs w:val="22"/>
          <w:lang w:eastAsia="en-MY"/>
        </w:rPr>
      </w:pPr>
      <w:bookmarkStart w:id="1" w:name="_heading=h.30j0zll" w:colFirst="0" w:colLast="0"/>
      <w:bookmarkStart w:id="2" w:name="_gjdgxs" w:colFirst="0" w:colLast="0"/>
      <w:bookmarkStart w:id="3" w:name="_Toc65416727"/>
      <w:bookmarkStart w:id="4" w:name="_Toc65101092"/>
      <w:bookmarkStart w:id="5" w:name="_Toc65394378"/>
      <w:bookmarkEnd w:id="1"/>
      <w:bookmarkEnd w:id="2"/>
      <w:r w:rsidRPr="00002CEC">
        <w:rPr>
          <w:rFonts w:ascii="Verdana" w:hAnsi="Verdana"/>
          <w:b/>
          <w:bCs/>
          <w:color w:val="auto"/>
          <w:sz w:val="22"/>
          <w:szCs w:val="22"/>
          <w:lang w:eastAsia="en-MY"/>
        </w:rPr>
        <w:t>Inflation and its influence on daily wage working class. A case study of Rawalakot AJK</w:t>
      </w:r>
    </w:p>
    <w:p w14:paraId="09D67E08" w14:textId="77777777" w:rsidR="00002CEC" w:rsidRPr="00AC4554" w:rsidRDefault="00002CEC" w:rsidP="00702FF2">
      <w:pPr>
        <w:jc w:val="center"/>
        <w:rPr>
          <w:rFonts w:ascii="Verdana" w:hAnsi="Verdana"/>
          <w:b/>
          <w:bCs/>
          <w:color w:val="auto"/>
          <w:sz w:val="22"/>
          <w:szCs w:val="22"/>
          <w:lang w:eastAsia="en-MY"/>
        </w:rPr>
      </w:pPr>
    </w:p>
    <w:p w14:paraId="0C7D0B4B" w14:textId="4690FCB7" w:rsidR="00A93168" w:rsidRPr="00070ED3" w:rsidRDefault="00070ED3" w:rsidP="00702FF2">
      <w:pPr>
        <w:tabs>
          <w:tab w:val="left" w:pos="0"/>
          <w:tab w:val="left" w:pos="1890"/>
          <w:tab w:val="left" w:pos="4320"/>
        </w:tabs>
        <w:spacing w:after="120"/>
        <w:ind w:left="288" w:hanging="288"/>
        <w:rPr>
          <w:rFonts w:ascii="Verdana" w:eastAsia="Calibri" w:hAnsi="Verdana" w:cs="Arial"/>
          <w:iCs/>
          <w:color w:val="auto"/>
          <w:sz w:val="20"/>
          <w:szCs w:val="20"/>
        </w:rPr>
      </w:pPr>
      <w:r w:rsidRPr="00070ED3">
        <w:rPr>
          <w:rFonts w:ascii="Verdana" w:eastAsia="Calibri" w:hAnsi="Verdana" w:cs="Arial"/>
          <w:iCs/>
          <w:color w:val="auto"/>
          <w:sz w:val="20"/>
          <w:szCs w:val="20"/>
        </w:rPr>
        <w:t>Laiba Anwar</w:t>
      </w:r>
      <w:r w:rsidR="00A93168" w:rsidRPr="002D58E0">
        <w:rPr>
          <w:rFonts w:ascii="Verdana" w:eastAsia="Calibri" w:hAnsi="Verdana" w:cs="Arial"/>
          <w:iCs/>
          <w:color w:val="auto"/>
          <w:sz w:val="20"/>
          <w:szCs w:val="20"/>
          <w:vertAlign w:val="superscript"/>
        </w:rPr>
        <w:t>1</w:t>
      </w:r>
      <w:r w:rsidR="00A93168">
        <w:rPr>
          <w:rFonts w:ascii="Verdana" w:eastAsia="Calibri" w:hAnsi="Verdana" w:cs="Arial"/>
          <w:iCs/>
          <w:color w:val="auto"/>
          <w:sz w:val="20"/>
          <w:szCs w:val="20"/>
        </w:rPr>
        <w:t>,</w:t>
      </w:r>
      <w:r w:rsidR="00A93168" w:rsidRPr="00355356">
        <w:t xml:space="preserve"> </w:t>
      </w:r>
      <w:r w:rsidRPr="00070ED3">
        <w:rPr>
          <w:rFonts w:ascii="Verdana" w:eastAsia="Calibri" w:hAnsi="Verdana" w:cs="Arial"/>
          <w:iCs/>
          <w:color w:val="auto"/>
          <w:sz w:val="20"/>
          <w:szCs w:val="20"/>
        </w:rPr>
        <w:t>Mehwish Ashraf</w:t>
      </w:r>
      <w:r w:rsidR="00A93168" w:rsidRPr="00355356">
        <w:rPr>
          <w:rFonts w:ascii="Verdana" w:eastAsia="Calibri" w:hAnsi="Verdana" w:cs="Arial"/>
          <w:iCs/>
          <w:color w:val="auto"/>
          <w:sz w:val="20"/>
          <w:szCs w:val="20"/>
          <w:vertAlign w:val="superscript"/>
        </w:rPr>
        <w:t>2</w:t>
      </w:r>
      <w:r w:rsidR="00A93168">
        <w:rPr>
          <w:rFonts w:ascii="Verdana" w:eastAsia="Calibri" w:hAnsi="Verdana" w:cs="Arial"/>
          <w:iCs/>
          <w:color w:val="auto"/>
          <w:sz w:val="20"/>
          <w:szCs w:val="20"/>
        </w:rPr>
        <w:t xml:space="preserve">, </w:t>
      </w:r>
      <w:r w:rsidRPr="00070ED3">
        <w:rPr>
          <w:rFonts w:ascii="Verdana" w:eastAsia="Calibri" w:hAnsi="Verdana" w:cs="Arial"/>
          <w:iCs/>
          <w:color w:val="auto"/>
          <w:sz w:val="20"/>
          <w:szCs w:val="20"/>
        </w:rPr>
        <w:t>Syeda Mahlaqa Hina</w:t>
      </w:r>
      <w:r w:rsidR="00A93168" w:rsidRPr="00E4548E">
        <w:rPr>
          <w:rFonts w:ascii="Verdana" w:eastAsia="Calibri" w:hAnsi="Verdana" w:cs="Arial"/>
          <w:iCs/>
          <w:color w:val="auto"/>
          <w:sz w:val="20"/>
          <w:szCs w:val="20"/>
          <w:vertAlign w:val="superscript"/>
        </w:rPr>
        <w:t>3</w:t>
      </w:r>
      <w:r>
        <w:rPr>
          <w:rFonts w:ascii="Verdana" w:eastAsia="Calibri" w:hAnsi="Verdana" w:cs="Arial"/>
          <w:iCs/>
          <w:color w:val="auto"/>
          <w:sz w:val="20"/>
          <w:szCs w:val="20"/>
        </w:rPr>
        <w:t xml:space="preserve">, </w:t>
      </w:r>
      <w:r w:rsidRPr="00070ED3">
        <w:rPr>
          <w:rFonts w:ascii="Verdana" w:eastAsia="Calibri" w:hAnsi="Verdana" w:cs="Arial"/>
          <w:iCs/>
          <w:color w:val="auto"/>
          <w:sz w:val="20"/>
          <w:szCs w:val="20"/>
        </w:rPr>
        <w:t>Muhammad Kamran</w:t>
      </w:r>
      <w:r w:rsidRPr="00070ED3">
        <w:rPr>
          <w:rFonts w:ascii="Verdana" w:eastAsia="Calibri" w:hAnsi="Verdana" w:cs="Arial"/>
          <w:iCs/>
          <w:color w:val="auto"/>
          <w:sz w:val="20"/>
          <w:szCs w:val="20"/>
          <w:vertAlign w:val="superscript"/>
        </w:rPr>
        <w:t>4</w:t>
      </w:r>
    </w:p>
    <w:p w14:paraId="4357B0AD" w14:textId="77777777" w:rsidR="00070ED3" w:rsidRDefault="00A93168" w:rsidP="00070ED3">
      <w:pPr>
        <w:tabs>
          <w:tab w:val="left" w:pos="450"/>
          <w:tab w:val="left" w:pos="1890"/>
        </w:tabs>
        <w:ind w:left="90" w:hanging="90"/>
        <w:rPr>
          <w:rFonts w:ascii="Verdana" w:hAnsi="Verdana"/>
          <w:bCs/>
          <w:color w:val="auto"/>
          <w:sz w:val="16"/>
          <w:szCs w:val="16"/>
        </w:rPr>
      </w:pPr>
      <w:r w:rsidRPr="002D58E0">
        <w:rPr>
          <w:rFonts w:ascii="Verdana" w:hAnsi="Verdana"/>
          <w:bCs/>
          <w:color w:val="auto"/>
          <w:sz w:val="16"/>
          <w:szCs w:val="16"/>
          <w:vertAlign w:val="superscript"/>
        </w:rPr>
        <w:t>1</w:t>
      </w:r>
      <w:r>
        <w:rPr>
          <w:rFonts w:ascii="Verdana" w:hAnsi="Verdana"/>
          <w:bCs/>
          <w:color w:val="auto"/>
          <w:sz w:val="16"/>
          <w:szCs w:val="16"/>
        </w:rPr>
        <w:t xml:space="preserve"> </w:t>
      </w:r>
      <w:r w:rsidR="00070ED3" w:rsidRPr="00070ED3">
        <w:rPr>
          <w:rFonts w:ascii="Verdana" w:hAnsi="Verdana"/>
          <w:bCs/>
          <w:color w:val="auto"/>
          <w:sz w:val="16"/>
          <w:szCs w:val="16"/>
        </w:rPr>
        <w:t>M.</w:t>
      </w:r>
      <w:r w:rsidR="00070ED3">
        <w:rPr>
          <w:rFonts w:ascii="Verdana" w:hAnsi="Verdana"/>
          <w:bCs/>
          <w:color w:val="auto"/>
          <w:sz w:val="16"/>
          <w:szCs w:val="16"/>
        </w:rPr>
        <w:t>Phil.</w:t>
      </w:r>
      <w:r w:rsidR="00070ED3" w:rsidRPr="00070ED3">
        <w:rPr>
          <w:rFonts w:ascii="Verdana" w:hAnsi="Verdana"/>
          <w:bCs/>
          <w:color w:val="auto"/>
          <w:sz w:val="16"/>
          <w:szCs w:val="16"/>
        </w:rPr>
        <w:t xml:space="preserve"> Scholar</w:t>
      </w:r>
      <w:r w:rsidR="00070ED3">
        <w:rPr>
          <w:rFonts w:ascii="Verdana" w:hAnsi="Verdana"/>
          <w:bCs/>
          <w:color w:val="auto"/>
          <w:sz w:val="16"/>
          <w:szCs w:val="16"/>
        </w:rPr>
        <w:t xml:space="preserve">, </w:t>
      </w:r>
      <w:r w:rsidR="00070ED3" w:rsidRPr="00070ED3">
        <w:rPr>
          <w:rFonts w:ascii="Verdana" w:hAnsi="Verdana"/>
          <w:bCs/>
          <w:color w:val="auto"/>
          <w:sz w:val="16"/>
          <w:szCs w:val="16"/>
        </w:rPr>
        <w:t>Department</w:t>
      </w:r>
      <w:r w:rsidR="00070ED3">
        <w:rPr>
          <w:rFonts w:ascii="Verdana" w:hAnsi="Verdana"/>
          <w:bCs/>
          <w:color w:val="auto"/>
          <w:sz w:val="16"/>
          <w:szCs w:val="16"/>
        </w:rPr>
        <w:t xml:space="preserve"> of </w:t>
      </w:r>
      <w:r w:rsidR="00070ED3" w:rsidRPr="00070ED3">
        <w:rPr>
          <w:rFonts w:ascii="Verdana" w:hAnsi="Verdana"/>
          <w:bCs/>
          <w:color w:val="auto"/>
          <w:sz w:val="16"/>
          <w:szCs w:val="16"/>
        </w:rPr>
        <w:t>Sociology</w:t>
      </w:r>
      <w:r w:rsidR="00070ED3">
        <w:rPr>
          <w:rFonts w:ascii="Verdana" w:hAnsi="Verdana"/>
          <w:bCs/>
          <w:color w:val="auto"/>
          <w:sz w:val="16"/>
          <w:szCs w:val="16"/>
        </w:rPr>
        <w:t xml:space="preserve">, </w:t>
      </w:r>
      <w:r w:rsidR="00070ED3" w:rsidRPr="00070ED3">
        <w:rPr>
          <w:rFonts w:ascii="Verdana" w:hAnsi="Verdana"/>
          <w:bCs/>
          <w:color w:val="auto"/>
          <w:sz w:val="16"/>
          <w:szCs w:val="16"/>
        </w:rPr>
        <w:t>International Islamic University</w:t>
      </w:r>
      <w:r w:rsidR="00070ED3">
        <w:rPr>
          <w:rFonts w:ascii="Verdana" w:hAnsi="Verdana"/>
          <w:bCs/>
          <w:color w:val="auto"/>
          <w:sz w:val="16"/>
          <w:szCs w:val="16"/>
        </w:rPr>
        <w:t xml:space="preserve"> </w:t>
      </w:r>
      <w:r w:rsidR="00070ED3" w:rsidRPr="00070ED3">
        <w:rPr>
          <w:rFonts w:ascii="Verdana" w:hAnsi="Verdana"/>
          <w:bCs/>
          <w:color w:val="auto"/>
          <w:sz w:val="16"/>
          <w:szCs w:val="16"/>
        </w:rPr>
        <w:t>Islamabad</w:t>
      </w:r>
      <w:r w:rsidR="00070ED3">
        <w:rPr>
          <w:rFonts w:ascii="Verdana" w:hAnsi="Verdana"/>
          <w:bCs/>
          <w:color w:val="auto"/>
          <w:sz w:val="16"/>
          <w:szCs w:val="16"/>
        </w:rPr>
        <w:t xml:space="preserve">, Pakistan. </w:t>
      </w:r>
    </w:p>
    <w:p w14:paraId="51079586" w14:textId="284A5A04" w:rsidR="00070ED3" w:rsidRDefault="00070ED3" w:rsidP="00070ED3">
      <w:pPr>
        <w:tabs>
          <w:tab w:val="left" w:pos="450"/>
          <w:tab w:val="left" w:pos="1890"/>
        </w:tabs>
        <w:ind w:left="90" w:hanging="90"/>
        <w:rPr>
          <w:rFonts w:ascii="Verdana" w:hAnsi="Verdana"/>
          <w:bCs/>
          <w:color w:val="auto"/>
          <w:sz w:val="16"/>
          <w:szCs w:val="16"/>
        </w:rPr>
      </w:pPr>
      <w:r>
        <w:rPr>
          <w:rFonts w:ascii="Verdana" w:hAnsi="Verdana"/>
          <w:bCs/>
          <w:color w:val="auto"/>
          <w:sz w:val="16"/>
          <w:szCs w:val="16"/>
        </w:rPr>
        <w:t xml:space="preserve">  Email: </w:t>
      </w:r>
      <w:hyperlink r:id="rId14" w:history="1">
        <w:r w:rsidRPr="00070ED3">
          <w:rPr>
            <w:rStyle w:val="Hyperlink"/>
            <w:rFonts w:ascii="Verdana" w:hAnsi="Verdana"/>
            <w:bCs/>
            <w:color w:val="000000" w:themeColor="text1"/>
            <w:sz w:val="16"/>
            <w:szCs w:val="16"/>
            <w:u w:val="none"/>
          </w:rPr>
          <w:t>laiba.Anvar@gmail.com</w:t>
        </w:r>
      </w:hyperlink>
    </w:p>
    <w:p w14:paraId="62E850DF" w14:textId="34EADF67" w:rsidR="00B61BFE" w:rsidRPr="0071744D" w:rsidRDefault="00A93168" w:rsidP="00070ED3">
      <w:pPr>
        <w:tabs>
          <w:tab w:val="left" w:pos="450"/>
          <w:tab w:val="left" w:pos="1890"/>
        </w:tabs>
        <w:ind w:left="90" w:hanging="90"/>
        <w:rPr>
          <w:rFonts w:ascii="Verdana" w:hAnsi="Verdana"/>
          <w:bCs/>
          <w:color w:val="auto"/>
          <w:sz w:val="16"/>
          <w:szCs w:val="16"/>
        </w:rPr>
      </w:pPr>
      <w:r w:rsidRPr="00A47567">
        <w:rPr>
          <w:rFonts w:ascii="Verdana" w:hAnsi="Verdana"/>
          <w:bCs/>
          <w:color w:val="auto"/>
          <w:sz w:val="16"/>
          <w:szCs w:val="16"/>
          <w:vertAlign w:val="superscript"/>
        </w:rPr>
        <w:t>2</w:t>
      </w:r>
      <w:r w:rsidR="00070ED3">
        <w:rPr>
          <w:rFonts w:ascii="Verdana" w:hAnsi="Verdana"/>
          <w:bCs/>
          <w:color w:val="auto"/>
          <w:sz w:val="16"/>
          <w:szCs w:val="16"/>
        </w:rPr>
        <w:t xml:space="preserve"> </w:t>
      </w:r>
      <w:r w:rsidR="00070ED3" w:rsidRPr="00070ED3">
        <w:rPr>
          <w:rFonts w:ascii="Verdana" w:hAnsi="Verdana"/>
          <w:bCs/>
          <w:color w:val="auto"/>
          <w:sz w:val="16"/>
          <w:szCs w:val="16"/>
        </w:rPr>
        <w:t>M.Phil.</w:t>
      </w:r>
      <w:r w:rsidR="00037A18">
        <w:rPr>
          <w:rFonts w:ascii="Verdana" w:hAnsi="Verdana"/>
          <w:bCs/>
          <w:color w:val="auto"/>
          <w:sz w:val="16"/>
          <w:szCs w:val="16"/>
        </w:rPr>
        <w:t xml:space="preserve"> Scholar, Department of</w:t>
      </w:r>
      <w:r w:rsidR="00070ED3" w:rsidRPr="00070ED3">
        <w:rPr>
          <w:rFonts w:ascii="Verdana" w:hAnsi="Verdana"/>
          <w:bCs/>
          <w:color w:val="auto"/>
          <w:sz w:val="16"/>
          <w:szCs w:val="16"/>
        </w:rPr>
        <w:t xml:space="preserve"> Anthropology</w:t>
      </w:r>
      <w:r w:rsidR="00070ED3">
        <w:rPr>
          <w:rFonts w:ascii="Verdana" w:hAnsi="Verdana"/>
          <w:bCs/>
          <w:color w:val="auto"/>
          <w:sz w:val="16"/>
          <w:szCs w:val="16"/>
        </w:rPr>
        <w:t xml:space="preserve">, </w:t>
      </w:r>
      <w:r w:rsidR="00070ED3" w:rsidRPr="00070ED3">
        <w:rPr>
          <w:rFonts w:ascii="Verdana" w:hAnsi="Verdana"/>
          <w:bCs/>
          <w:color w:val="auto"/>
          <w:sz w:val="16"/>
          <w:szCs w:val="16"/>
        </w:rPr>
        <w:t xml:space="preserve">PMS </w:t>
      </w:r>
      <w:r w:rsidR="00037A18">
        <w:rPr>
          <w:rFonts w:ascii="Verdana" w:hAnsi="Verdana"/>
          <w:bCs/>
          <w:color w:val="auto"/>
          <w:sz w:val="16"/>
          <w:szCs w:val="16"/>
        </w:rPr>
        <w:t>A</w:t>
      </w:r>
      <w:r w:rsidR="00070ED3" w:rsidRPr="00070ED3">
        <w:rPr>
          <w:rFonts w:ascii="Verdana" w:hAnsi="Verdana"/>
          <w:bCs/>
          <w:color w:val="auto"/>
          <w:sz w:val="16"/>
          <w:szCs w:val="16"/>
        </w:rPr>
        <w:t>rid Agriculture University Rawalpindi</w:t>
      </w:r>
      <w:r w:rsidR="00037A18">
        <w:rPr>
          <w:rFonts w:ascii="Verdana" w:hAnsi="Verdana"/>
          <w:bCs/>
          <w:color w:val="auto"/>
          <w:sz w:val="16"/>
          <w:szCs w:val="16"/>
        </w:rPr>
        <w:t xml:space="preserve">, Pakistan. </w:t>
      </w:r>
      <w:r w:rsidR="00070ED3" w:rsidRPr="00070ED3">
        <w:rPr>
          <w:rFonts w:ascii="Verdana" w:hAnsi="Verdana"/>
          <w:bCs/>
          <w:color w:val="auto"/>
          <w:sz w:val="16"/>
          <w:szCs w:val="16"/>
        </w:rPr>
        <w:t xml:space="preserve">                       </w:t>
      </w:r>
    </w:p>
    <w:p w14:paraId="7058B077" w14:textId="5F47B5C5" w:rsidR="00B61BFE" w:rsidRPr="00037A18" w:rsidRDefault="00A93168" w:rsidP="00070ED3">
      <w:pPr>
        <w:tabs>
          <w:tab w:val="left" w:pos="450"/>
          <w:tab w:val="left" w:pos="1890"/>
        </w:tabs>
        <w:ind w:left="90" w:hanging="90"/>
        <w:rPr>
          <w:rFonts w:ascii="Verdana" w:hAnsi="Verdana"/>
          <w:bCs/>
          <w:color w:val="000000" w:themeColor="text1"/>
          <w:sz w:val="16"/>
          <w:szCs w:val="16"/>
        </w:rPr>
      </w:pPr>
      <w:r w:rsidRPr="00897C27">
        <w:rPr>
          <w:rFonts w:ascii="Verdana" w:hAnsi="Verdana"/>
          <w:bCs/>
          <w:color w:val="auto"/>
          <w:sz w:val="16"/>
          <w:szCs w:val="16"/>
          <w:vertAlign w:val="superscript"/>
        </w:rPr>
        <w:t>3</w:t>
      </w:r>
      <w:r>
        <w:rPr>
          <w:rFonts w:ascii="Verdana" w:hAnsi="Verdana"/>
          <w:bCs/>
          <w:color w:val="auto"/>
          <w:sz w:val="16"/>
          <w:szCs w:val="16"/>
          <w:vertAlign w:val="superscript"/>
        </w:rPr>
        <w:t xml:space="preserve"> </w:t>
      </w:r>
      <w:r w:rsidR="00070ED3" w:rsidRPr="00070ED3">
        <w:rPr>
          <w:rFonts w:ascii="Verdana" w:hAnsi="Verdana"/>
          <w:bCs/>
          <w:color w:val="auto"/>
          <w:sz w:val="16"/>
          <w:szCs w:val="16"/>
        </w:rPr>
        <w:t>Assistant Professor</w:t>
      </w:r>
      <w:r w:rsidR="00037A18">
        <w:rPr>
          <w:rFonts w:ascii="Verdana" w:hAnsi="Verdana"/>
          <w:bCs/>
          <w:color w:val="auto"/>
          <w:sz w:val="16"/>
          <w:szCs w:val="16"/>
        </w:rPr>
        <w:t xml:space="preserve">, </w:t>
      </w:r>
      <w:r w:rsidR="00070ED3" w:rsidRPr="00070ED3">
        <w:rPr>
          <w:rFonts w:ascii="Verdana" w:hAnsi="Verdana"/>
          <w:bCs/>
          <w:color w:val="auto"/>
          <w:sz w:val="16"/>
          <w:szCs w:val="16"/>
        </w:rPr>
        <w:t>University of Bradford, UK</w:t>
      </w:r>
      <w:r w:rsidR="00037A18">
        <w:rPr>
          <w:rFonts w:ascii="Verdana" w:hAnsi="Verdana"/>
          <w:bCs/>
          <w:color w:val="auto"/>
          <w:sz w:val="16"/>
          <w:szCs w:val="16"/>
        </w:rPr>
        <w:t xml:space="preserve">.  Email: </w:t>
      </w:r>
      <w:hyperlink r:id="rId15" w:history="1">
        <w:r w:rsidR="00037A18" w:rsidRPr="00037A18">
          <w:rPr>
            <w:rStyle w:val="Hyperlink"/>
            <w:rFonts w:ascii="Verdana" w:hAnsi="Verdana"/>
            <w:bCs/>
            <w:color w:val="000000" w:themeColor="text1"/>
            <w:sz w:val="16"/>
            <w:szCs w:val="16"/>
            <w:u w:val="none"/>
          </w:rPr>
          <w:t>s.hina@bradford.ac.uk</w:t>
        </w:r>
      </w:hyperlink>
    </w:p>
    <w:p w14:paraId="0574B439" w14:textId="5B7B28D9" w:rsidR="00070ED3" w:rsidRPr="0071744D" w:rsidRDefault="00070ED3" w:rsidP="00070ED3">
      <w:pPr>
        <w:tabs>
          <w:tab w:val="left" w:pos="450"/>
          <w:tab w:val="left" w:pos="1890"/>
        </w:tabs>
        <w:ind w:left="90" w:hanging="90"/>
        <w:rPr>
          <w:rFonts w:ascii="Verdana" w:hAnsi="Verdana"/>
          <w:bCs/>
          <w:color w:val="auto"/>
          <w:sz w:val="16"/>
          <w:szCs w:val="16"/>
        </w:rPr>
      </w:pPr>
      <w:r w:rsidRPr="00070ED3">
        <w:rPr>
          <w:rFonts w:ascii="Verdana" w:hAnsi="Verdana"/>
          <w:bCs/>
          <w:color w:val="auto"/>
          <w:sz w:val="16"/>
          <w:szCs w:val="16"/>
          <w:vertAlign w:val="superscript"/>
        </w:rPr>
        <w:t>4</w:t>
      </w:r>
      <w:r>
        <w:rPr>
          <w:rFonts w:ascii="Verdana" w:hAnsi="Verdana"/>
          <w:bCs/>
          <w:color w:val="auto"/>
          <w:sz w:val="16"/>
          <w:szCs w:val="16"/>
        </w:rPr>
        <w:t xml:space="preserve"> </w:t>
      </w:r>
      <w:r w:rsidRPr="00070ED3">
        <w:rPr>
          <w:rFonts w:ascii="Verdana" w:hAnsi="Verdana"/>
          <w:bCs/>
          <w:color w:val="auto"/>
          <w:sz w:val="16"/>
          <w:szCs w:val="16"/>
        </w:rPr>
        <w:t>M.P</w:t>
      </w:r>
      <w:r>
        <w:rPr>
          <w:rFonts w:ascii="Verdana" w:hAnsi="Verdana"/>
          <w:bCs/>
          <w:color w:val="auto"/>
          <w:sz w:val="16"/>
          <w:szCs w:val="16"/>
        </w:rPr>
        <w:t xml:space="preserve">hil. </w:t>
      </w:r>
      <w:r w:rsidRPr="00070ED3">
        <w:rPr>
          <w:rFonts w:ascii="Verdana" w:hAnsi="Verdana"/>
          <w:bCs/>
          <w:color w:val="auto"/>
          <w:sz w:val="16"/>
          <w:szCs w:val="16"/>
        </w:rPr>
        <w:t>Scholar</w:t>
      </w:r>
      <w:r>
        <w:rPr>
          <w:rFonts w:ascii="Verdana" w:hAnsi="Verdana"/>
          <w:bCs/>
          <w:color w:val="auto"/>
          <w:sz w:val="16"/>
          <w:szCs w:val="16"/>
        </w:rPr>
        <w:t xml:space="preserve">, </w:t>
      </w:r>
      <w:r w:rsidRPr="00070ED3">
        <w:rPr>
          <w:rFonts w:ascii="Verdana" w:hAnsi="Verdana"/>
          <w:bCs/>
          <w:color w:val="auto"/>
          <w:sz w:val="16"/>
          <w:szCs w:val="16"/>
        </w:rPr>
        <w:t xml:space="preserve">Department </w:t>
      </w:r>
      <w:r>
        <w:rPr>
          <w:rFonts w:ascii="Verdana" w:hAnsi="Verdana"/>
          <w:bCs/>
          <w:color w:val="auto"/>
          <w:sz w:val="16"/>
          <w:szCs w:val="16"/>
        </w:rPr>
        <w:t xml:space="preserve">of </w:t>
      </w:r>
      <w:r w:rsidRPr="00070ED3">
        <w:rPr>
          <w:rFonts w:ascii="Verdana" w:hAnsi="Verdana"/>
          <w:bCs/>
          <w:color w:val="auto"/>
          <w:sz w:val="16"/>
          <w:szCs w:val="16"/>
        </w:rPr>
        <w:t>Sociology</w:t>
      </w:r>
      <w:r>
        <w:rPr>
          <w:rFonts w:ascii="Verdana" w:hAnsi="Verdana"/>
          <w:bCs/>
          <w:color w:val="auto"/>
          <w:sz w:val="16"/>
          <w:szCs w:val="16"/>
        </w:rPr>
        <w:t>,</w:t>
      </w:r>
      <w:r w:rsidRPr="00070ED3">
        <w:rPr>
          <w:rFonts w:ascii="Verdana" w:hAnsi="Verdana"/>
          <w:bCs/>
          <w:color w:val="auto"/>
          <w:sz w:val="16"/>
          <w:szCs w:val="16"/>
        </w:rPr>
        <w:t xml:space="preserve"> International Islamic University Islamabad</w:t>
      </w:r>
      <w:r>
        <w:rPr>
          <w:rFonts w:ascii="Verdana" w:hAnsi="Verdana"/>
          <w:bCs/>
          <w:color w:val="auto"/>
          <w:sz w:val="16"/>
          <w:szCs w:val="16"/>
        </w:rPr>
        <w:t xml:space="preserve">, Pakistan. </w:t>
      </w:r>
    </w:p>
    <w:tbl>
      <w:tblPr>
        <w:tblW w:w="9747" w:type="dxa"/>
        <w:tblBorders>
          <w:top w:val="single" w:sz="8" w:space="0" w:color="auto"/>
          <w:bottom w:val="single" w:sz="8" w:space="0" w:color="auto"/>
        </w:tblBorders>
        <w:tblLook w:val="04A0" w:firstRow="1" w:lastRow="0" w:firstColumn="1" w:lastColumn="0" w:noHBand="0" w:noVBand="1"/>
      </w:tblPr>
      <w:tblGrid>
        <w:gridCol w:w="3618"/>
        <w:gridCol w:w="6129"/>
      </w:tblGrid>
      <w:tr w:rsidR="00A93168" w14:paraId="0DF52FD2" w14:textId="77777777" w:rsidTr="000D7E9C">
        <w:tc>
          <w:tcPr>
            <w:tcW w:w="3618" w:type="dxa"/>
            <w:tcBorders>
              <w:bottom w:val="single" w:sz="8" w:space="0" w:color="auto"/>
            </w:tcBorders>
            <w:shd w:val="clear" w:color="auto" w:fill="auto"/>
          </w:tcPr>
          <w:bookmarkEnd w:id="3"/>
          <w:bookmarkEnd w:id="4"/>
          <w:bookmarkEnd w:id="5"/>
          <w:p w14:paraId="4D46B8E1" w14:textId="77777777" w:rsidR="00A93168" w:rsidRDefault="00A93168" w:rsidP="000D7E9C">
            <w:pPr>
              <w:shd w:val="clear" w:color="auto" w:fill="FFFFFF"/>
              <w:tabs>
                <w:tab w:val="left" w:pos="709"/>
                <w:tab w:val="left" w:pos="851"/>
                <w:tab w:val="left" w:pos="993"/>
                <w:tab w:val="left" w:pos="1440"/>
              </w:tabs>
              <w:spacing w:before="120" w:after="120"/>
              <w:ind w:left="0" w:firstLine="0"/>
              <w:jc w:val="left"/>
              <w:rPr>
                <w:rFonts w:ascii="Verdana" w:hAnsi="Verdana" w:cs="Arial"/>
                <w:color w:val="auto"/>
                <w:sz w:val="20"/>
                <w:szCs w:val="20"/>
              </w:rPr>
            </w:pPr>
            <w:r>
              <w:rPr>
                <w:rFonts w:ascii="Verdana" w:hAnsi="Verdana" w:cs="Arial"/>
                <w:b/>
                <w:bCs/>
                <w:color w:val="auto"/>
                <w:sz w:val="20"/>
                <w:szCs w:val="20"/>
              </w:rPr>
              <w:t>ARTICLE INFO</w:t>
            </w:r>
          </w:p>
        </w:tc>
        <w:tc>
          <w:tcPr>
            <w:tcW w:w="6129" w:type="dxa"/>
            <w:tcBorders>
              <w:bottom w:val="single" w:sz="8" w:space="0" w:color="auto"/>
            </w:tcBorders>
            <w:shd w:val="clear" w:color="auto" w:fill="auto"/>
          </w:tcPr>
          <w:p w14:paraId="2D2F62FC" w14:textId="77777777" w:rsidR="00A93168" w:rsidRDefault="00A93168" w:rsidP="000D7E9C">
            <w:pPr>
              <w:shd w:val="clear" w:color="auto" w:fill="FFFFFF"/>
              <w:tabs>
                <w:tab w:val="left" w:pos="709"/>
                <w:tab w:val="left" w:pos="851"/>
                <w:tab w:val="left" w:pos="993"/>
                <w:tab w:val="left" w:pos="1440"/>
              </w:tabs>
              <w:spacing w:before="120" w:after="120"/>
              <w:ind w:left="0" w:firstLine="0"/>
              <w:jc w:val="left"/>
              <w:rPr>
                <w:rFonts w:ascii="Verdana" w:hAnsi="Verdana" w:cs="Arial"/>
                <w:b/>
                <w:bCs/>
                <w:color w:val="auto"/>
                <w:sz w:val="20"/>
                <w:szCs w:val="20"/>
              </w:rPr>
            </w:pPr>
            <w:r>
              <w:rPr>
                <w:rFonts w:ascii="Verdana" w:hAnsi="Verdana" w:cs="Arial"/>
                <w:b/>
                <w:bCs/>
                <w:color w:val="auto"/>
                <w:sz w:val="20"/>
                <w:szCs w:val="20"/>
              </w:rPr>
              <w:t>ABSTRACT</w:t>
            </w:r>
          </w:p>
        </w:tc>
      </w:tr>
      <w:tr w:rsidR="00A93168" w14:paraId="2C08E1FF" w14:textId="77777777" w:rsidTr="000D7E9C">
        <w:tc>
          <w:tcPr>
            <w:tcW w:w="3618" w:type="dxa"/>
            <w:tcBorders>
              <w:top w:val="single" w:sz="8" w:space="0" w:color="auto"/>
              <w:bottom w:val="single" w:sz="8" w:space="0" w:color="auto"/>
            </w:tcBorders>
            <w:shd w:val="clear" w:color="auto" w:fill="auto"/>
          </w:tcPr>
          <w:p w14:paraId="12384FB4" w14:textId="77777777" w:rsidR="00A93168" w:rsidRPr="00253C3E" w:rsidRDefault="00A93168" w:rsidP="000D7E9C">
            <w:pPr>
              <w:shd w:val="clear" w:color="auto" w:fill="FFFFFF"/>
              <w:tabs>
                <w:tab w:val="left" w:pos="709"/>
                <w:tab w:val="left" w:pos="851"/>
                <w:tab w:val="left" w:pos="993"/>
                <w:tab w:val="left" w:pos="1440"/>
              </w:tabs>
              <w:ind w:left="0" w:firstLine="0"/>
              <w:rPr>
                <w:rFonts w:ascii="Verdana" w:hAnsi="Verdana" w:cs="Arial"/>
                <w:b/>
                <w:bCs/>
                <w:i/>
                <w:iCs/>
                <w:color w:val="auto"/>
                <w:sz w:val="18"/>
                <w:szCs w:val="18"/>
              </w:rPr>
            </w:pPr>
            <w:r w:rsidRPr="00253C3E">
              <w:rPr>
                <w:rFonts w:ascii="Verdana" w:hAnsi="Verdana" w:cs="Arial"/>
                <w:b/>
                <w:bCs/>
                <w:i/>
                <w:iCs/>
                <w:color w:val="auto"/>
                <w:sz w:val="18"/>
                <w:szCs w:val="18"/>
              </w:rPr>
              <w:t>Article History:</w:t>
            </w:r>
          </w:p>
          <w:p w14:paraId="155659A6" w14:textId="6364C690" w:rsidR="00A93168" w:rsidRPr="00253C3E" w:rsidRDefault="00A93168" w:rsidP="000D7E9C">
            <w:pPr>
              <w:shd w:val="clear" w:color="auto" w:fill="FFFFFF"/>
              <w:tabs>
                <w:tab w:val="left" w:pos="709"/>
                <w:tab w:val="left" w:pos="851"/>
                <w:tab w:val="left" w:pos="993"/>
                <w:tab w:val="left" w:pos="1440"/>
              </w:tabs>
              <w:ind w:left="0" w:right="-90" w:firstLine="0"/>
              <w:rPr>
                <w:rFonts w:ascii="Verdana" w:hAnsi="Verdana" w:cs="Arial"/>
                <w:color w:val="auto"/>
                <w:sz w:val="18"/>
                <w:szCs w:val="18"/>
              </w:rPr>
            </w:pPr>
            <w:r w:rsidRPr="00253C3E">
              <w:rPr>
                <w:rFonts w:ascii="Verdana" w:hAnsi="Verdana" w:cs="Arial"/>
                <w:color w:val="auto"/>
                <w:sz w:val="18"/>
                <w:szCs w:val="18"/>
              </w:rPr>
              <w:t xml:space="preserve">Received:              </w:t>
            </w:r>
            <w:r>
              <w:rPr>
                <w:rFonts w:ascii="Verdana" w:hAnsi="Verdana" w:cs="Arial"/>
                <w:color w:val="auto"/>
                <w:sz w:val="18"/>
                <w:szCs w:val="18"/>
              </w:rPr>
              <w:t xml:space="preserve">       July </w:t>
            </w:r>
            <w:r w:rsidR="008962BE">
              <w:rPr>
                <w:rFonts w:ascii="Verdana" w:hAnsi="Verdana" w:cs="Arial"/>
                <w:color w:val="auto"/>
                <w:sz w:val="18"/>
                <w:szCs w:val="18"/>
              </w:rPr>
              <w:t>1</w:t>
            </w:r>
            <w:r w:rsidR="00776E63">
              <w:rPr>
                <w:rFonts w:ascii="Verdana" w:hAnsi="Verdana" w:cs="Arial"/>
                <w:color w:val="auto"/>
                <w:sz w:val="18"/>
                <w:szCs w:val="18"/>
              </w:rPr>
              <w:t>0</w:t>
            </w:r>
            <w:r w:rsidRPr="00253C3E">
              <w:rPr>
                <w:rFonts w:ascii="Verdana" w:hAnsi="Verdana" w:cs="Arial"/>
                <w:color w:val="auto"/>
                <w:sz w:val="18"/>
                <w:szCs w:val="18"/>
              </w:rPr>
              <w:t>, 2023</w:t>
            </w:r>
          </w:p>
          <w:p w14:paraId="2CBA040E" w14:textId="40D2B3D1" w:rsidR="00A93168" w:rsidRPr="00253C3E" w:rsidRDefault="00A93168" w:rsidP="000D7E9C">
            <w:pPr>
              <w:shd w:val="clear" w:color="auto" w:fill="FFFFFF"/>
              <w:tabs>
                <w:tab w:val="left" w:pos="709"/>
                <w:tab w:val="left" w:pos="851"/>
                <w:tab w:val="left" w:pos="993"/>
                <w:tab w:val="left" w:pos="1440"/>
              </w:tabs>
              <w:ind w:left="0" w:right="-90" w:firstLine="0"/>
              <w:rPr>
                <w:rFonts w:ascii="Verdana" w:hAnsi="Verdana" w:cs="Arial"/>
                <w:color w:val="auto"/>
                <w:sz w:val="18"/>
                <w:szCs w:val="18"/>
              </w:rPr>
            </w:pPr>
            <w:r w:rsidRPr="00253C3E">
              <w:rPr>
                <w:rFonts w:ascii="Verdana" w:hAnsi="Verdana" w:cs="Arial"/>
                <w:color w:val="auto"/>
                <w:sz w:val="18"/>
                <w:szCs w:val="18"/>
              </w:rPr>
              <w:t xml:space="preserve">Revised:             </w:t>
            </w:r>
            <w:r>
              <w:rPr>
                <w:rFonts w:ascii="Verdana" w:hAnsi="Verdana" w:cs="Arial"/>
                <w:color w:val="auto"/>
                <w:sz w:val="18"/>
                <w:szCs w:val="18"/>
              </w:rPr>
              <w:t>September 2</w:t>
            </w:r>
            <w:r w:rsidR="00682A43">
              <w:rPr>
                <w:rFonts w:ascii="Verdana" w:hAnsi="Verdana" w:cs="Arial"/>
                <w:color w:val="auto"/>
                <w:sz w:val="18"/>
                <w:szCs w:val="18"/>
              </w:rPr>
              <w:t>7</w:t>
            </w:r>
            <w:r w:rsidRPr="00253C3E">
              <w:rPr>
                <w:rFonts w:ascii="Verdana" w:hAnsi="Verdana" w:cs="Arial"/>
                <w:color w:val="auto"/>
                <w:sz w:val="18"/>
                <w:szCs w:val="18"/>
              </w:rPr>
              <w:t>, 2023</w:t>
            </w:r>
          </w:p>
          <w:p w14:paraId="773A6340" w14:textId="0AE42F10" w:rsidR="00A93168" w:rsidRPr="00253C3E" w:rsidRDefault="00A93168" w:rsidP="000D7E9C">
            <w:pPr>
              <w:shd w:val="clear" w:color="auto" w:fill="FFFFFF"/>
              <w:tabs>
                <w:tab w:val="left" w:pos="709"/>
                <w:tab w:val="left" w:pos="851"/>
                <w:tab w:val="left" w:pos="993"/>
                <w:tab w:val="left" w:pos="1440"/>
              </w:tabs>
              <w:ind w:left="0" w:right="-90" w:firstLine="0"/>
              <w:rPr>
                <w:rFonts w:ascii="Verdana" w:hAnsi="Verdana" w:cs="Arial"/>
                <w:color w:val="auto"/>
                <w:sz w:val="18"/>
                <w:szCs w:val="18"/>
              </w:rPr>
            </w:pPr>
            <w:r w:rsidRPr="00253C3E">
              <w:rPr>
                <w:rFonts w:ascii="Verdana" w:hAnsi="Verdana" w:cs="Arial"/>
                <w:color w:val="auto"/>
                <w:sz w:val="18"/>
                <w:szCs w:val="18"/>
              </w:rPr>
              <w:t xml:space="preserve">Accepted:           </w:t>
            </w:r>
            <w:r>
              <w:rPr>
                <w:rFonts w:ascii="Verdana" w:hAnsi="Verdana" w:cs="Arial"/>
                <w:color w:val="auto"/>
                <w:sz w:val="18"/>
                <w:szCs w:val="18"/>
              </w:rPr>
              <w:t>September 2</w:t>
            </w:r>
            <w:r w:rsidR="00682A43">
              <w:rPr>
                <w:rFonts w:ascii="Verdana" w:hAnsi="Verdana" w:cs="Arial"/>
                <w:color w:val="auto"/>
                <w:sz w:val="18"/>
                <w:szCs w:val="18"/>
              </w:rPr>
              <w:t>8</w:t>
            </w:r>
            <w:r>
              <w:rPr>
                <w:rFonts w:ascii="Verdana" w:hAnsi="Verdana" w:cs="Arial"/>
                <w:color w:val="auto"/>
                <w:sz w:val="18"/>
                <w:szCs w:val="18"/>
              </w:rPr>
              <w:t>,</w:t>
            </w:r>
            <w:r w:rsidRPr="00253C3E">
              <w:rPr>
                <w:rFonts w:ascii="Verdana" w:hAnsi="Verdana" w:cs="Arial"/>
                <w:color w:val="auto"/>
                <w:sz w:val="18"/>
                <w:szCs w:val="18"/>
              </w:rPr>
              <w:t xml:space="preserve"> 2023</w:t>
            </w:r>
          </w:p>
          <w:p w14:paraId="15FE8A1C" w14:textId="06106E4F" w:rsidR="00A93168" w:rsidRPr="00253C3E" w:rsidRDefault="00A93168" w:rsidP="000D7E9C">
            <w:pPr>
              <w:shd w:val="clear" w:color="auto" w:fill="FFFFFF"/>
              <w:tabs>
                <w:tab w:val="left" w:pos="709"/>
                <w:tab w:val="left" w:pos="851"/>
                <w:tab w:val="left" w:pos="993"/>
                <w:tab w:val="left" w:pos="1440"/>
              </w:tabs>
              <w:ind w:left="0" w:right="-90" w:firstLine="0"/>
              <w:rPr>
                <w:rFonts w:ascii="Verdana" w:hAnsi="Verdana" w:cs="Arial"/>
                <w:color w:val="auto"/>
                <w:sz w:val="18"/>
                <w:szCs w:val="18"/>
              </w:rPr>
            </w:pPr>
            <w:r w:rsidRPr="00253C3E">
              <w:rPr>
                <w:rFonts w:ascii="Verdana" w:hAnsi="Verdana" w:cs="Arial"/>
                <w:color w:val="auto"/>
                <w:sz w:val="18"/>
                <w:szCs w:val="18"/>
              </w:rPr>
              <w:t xml:space="preserve">Available Online: </w:t>
            </w:r>
            <w:r>
              <w:rPr>
                <w:rFonts w:ascii="Verdana" w:hAnsi="Verdana" w:cs="Arial"/>
                <w:color w:val="auto"/>
                <w:sz w:val="18"/>
                <w:szCs w:val="18"/>
              </w:rPr>
              <w:t>September</w:t>
            </w:r>
            <w:r w:rsidRPr="00253C3E">
              <w:rPr>
                <w:rFonts w:ascii="Verdana" w:hAnsi="Verdana" w:cs="Arial"/>
                <w:color w:val="auto"/>
                <w:sz w:val="18"/>
                <w:szCs w:val="18"/>
              </w:rPr>
              <w:t xml:space="preserve"> </w:t>
            </w:r>
            <w:r>
              <w:rPr>
                <w:rFonts w:ascii="Verdana" w:hAnsi="Verdana" w:cs="Arial"/>
                <w:color w:val="auto"/>
                <w:sz w:val="18"/>
                <w:szCs w:val="18"/>
              </w:rPr>
              <w:t>2</w:t>
            </w:r>
            <w:r w:rsidR="00682A43">
              <w:rPr>
                <w:rFonts w:ascii="Verdana" w:hAnsi="Verdana" w:cs="Arial"/>
                <w:color w:val="auto"/>
                <w:sz w:val="18"/>
                <w:szCs w:val="18"/>
              </w:rPr>
              <w:t>9</w:t>
            </w:r>
            <w:r w:rsidRPr="00253C3E">
              <w:rPr>
                <w:rFonts w:ascii="Verdana" w:hAnsi="Verdana" w:cs="Arial"/>
                <w:color w:val="auto"/>
                <w:sz w:val="18"/>
                <w:szCs w:val="18"/>
              </w:rPr>
              <w:t>, 2023</w:t>
            </w:r>
          </w:p>
        </w:tc>
        <w:tc>
          <w:tcPr>
            <w:tcW w:w="6129" w:type="dxa"/>
            <w:vMerge w:val="restart"/>
            <w:tcBorders>
              <w:top w:val="single" w:sz="8" w:space="0" w:color="auto"/>
            </w:tcBorders>
            <w:shd w:val="clear" w:color="auto" w:fill="auto"/>
          </w:tcPr>
          <w:p w14:paraId="1A78EC2B" w14:textId="7D5D86C2" w:rsidR="00A93168" w:rsidRDefault="00002CEC" w:rsidP="000D7E9C">
            <w:pPr>
              <w:ind w:left="0" w:firstLine="0"/>
              <w:rPr>
                <w:rFonts w:ascii="Verdana" w:hAnsi="Verdana"/>
                <w:color w:val="auto"/>
                <w:sz w:val="18"/>
                <w:szCs w:val="18"/>
                <w:lang w:val="en-MY" w:eastAsia="en-MY"/>
              </w:rPr>
            </w:pPr>
            <w:r w:rsidRPr="00002CEC">
              <w:rPr>
                <w:rFonts w:ascii="Verdana" w:hAnsi="Verdana"/>
                <w:color w:val="auto"/>
                <w:sz w:val="18"/>
                <w:szCs w:val="18"/>
                <w:lang w:val="en-MY" w:eastAsia="en-MY"/>
              </w:rPr>
              <w:t>This research investigated empirically the influence of inflation on daily wage working class. Inflation is a term used in economics to describe a phenomena in which the prices of goods and services in an economy rise over time. Inflation indicates that, on average, goods get more costly with time. It is calculated as the percentage rise in the overall level of goods and services prices during a specific time period, usually a year. The central focus of the study was to dig out the influence inflation have on daily wage working class. The present study was conducted in Rawalakot Poonch ajk. In the current study, qualitative research methodology has been used. Ten people made up the sample. An interview guide was employed as a means of gathering primary research data. The collected data was examined thematically. The findings show that inflation has a negative impact on daily wage workers. The laborers' backs have been shattered by skyrocketing inflation. The daily wage working class is unable to satisfy their basic living necessities due to growing inflation. Labor earnings have not grown as much as commodity prices have. Along with financial challenges, the working class has suffered from psychological issues throughout this period of inflation. The study has also found when the daily wage workers are unable to meet the needs of the household quarrels and conflicts arise in the household and create a situation of insecurity.</w:t>
            </w:r>
          </w:p>
        </w:tc>
      </w:tr>
      <w:tr w:rsidR="00A93168" w14:paraId="4D012DC6" w14:textId="77777777" w:rsidTr="000D7E9C">
        <w:trPr>
          <w:trHeight w:val="776"/>
        </w:trPr>
        <w:tc>
          <w:tcPr>
            <w:tcW w:w="3618" w:type="dxa"/>
            <w:tcBorders>
              <w:top w:val="single" w:sz="8" w:space="0" w:color="auto"/>
              <w:bottom w:val="single" w:sz="4" w:space="0" w:color="auto"/>
            </w:tcBorders>
            <w:shd w:val="clear" w:color="auto" w:fill="auto"/>
          </w:tcPr>
          <w:p w14:paraId="6BD2CC33" w14:textId="77777777" w:rsidR="00A93168" w:rsidRDefault="00A93168" w:rsidP="000D7E9C">
            <w:pPr>
              <w:shd w:val="clear" w:color="auto" w:fill="FFFFFF"/>
              <w:tabs>
                <w:tab w:val="left" w:pos="709"/>
                <w:tab w:val="left" w:pos="851"/>
                <w:tab w:val="left" w:pos="993"/>
                <w:tab w:val="left" w:pos="1440"/>
              </w:tabs>
              <w:ind w:left="0" w:firstLine="0"/>
              <w:rPr>
                <w:rFonts w:ascii="Verdana" w:hAnsi="Verdana" w:cs="Arial"/>
                <w:b/>
                <w:bCs/>
                <w:i/>
                <w:iCs/>
                <w:color w:val="auto"/>
                <w:sz w:val="18"/>
                <w:szCs w:val="18"/>
              </w:rPr>
            </w:pPr>
            <w:r>
              <w:rPr>
                <w:rFonts w:ascii="Verdana" w:hAnsi="Verdana" w:cs="Arial"/>
                <w:b/>
                <w:bCs/>
                <w:i/>
                <w:iCs/>
                <w:color w:val="auto"/>
                <w:sz w:val="18"/>
                <w:szCs w:val="18"/>
              </w:rPr>
              <w:t>Keywords:</w:t>
            </w:r>
          </w:p>
          <w:p w14:paraId="76E44D7E" w14:textId="77777777" w:rsidR="00002CEC" w:rsidRDefault="00002CEC" w:rsidP="000D7E9C">
            <w:pPr>
              <w:ind w:left="0" w:firstLine="0"/>
              <w:rPr>
                <w:rFonts w:ascii="Verdana" w:hAnsi="Verdana" w:cstheme="majorHAnsi"/>
                <w:sz w:val="20"/>
                <w:szCs w:val="20"/>
              </w:rPr>
            </w:pPr>
            <w:r w:rsidRPr="00002CEC">
              <w:rPr>
                <w:rFonts w:ascii="Verdana" w:hAnsi="Verdana" w:cstheme="majorHAnsi"/>
                <w:sz w:val="20"/>
                <w:szCs w:val="20"/>
              </w:rPr>
              <w:t>Skyrocketing</w:t>
            </w:r>
          </w:p>
          <w:p w14:paraId="15CEEC90" w14:textId="77777777" w:rsidR="00002CEC" w:rsidRDefault="00002CEC" w:rsidP="000D7E9C">
            <w:pPr>
              <w:ind w:left="0" w:firstLine="0"/>
              <w:rPr>
                <w:rFonts w:ascii="Verdana" w:hAnsi="Verdana" w:cstheme="majorHAnsi"/>
                <w:sz w:val="20"/>
                <w:szCs w:val="20"/>
              </w:rPr>
            </w:pPr>
            <w:r w:rsidRPr="00002CEC">
              <w:rPr>
                <w:rFonts w:ascii="Verdana" w:hAnsi="Verdana" w:cstheme="majorHAnsi"/>
                <w:sz w:val="20"/>
                <w:szCs w:val="20"/>
              </w:rPr>
              <w:t>Commodities</w:t>
            </w:r>
          </w:p>
          <w:p w14:paraId="4C898637" w14:textId="77777777" w:rsidR="00002CEC" w:rsidRDefault="00002CEC" w:rsidP="000D7E9C">
            <w:pPr>
              <w:ind w:left="0" w:firstLine="0"/>
              <w:rPr>
                <w:rFonts w:ascii="Verdana" w:hAnsi="Verdana" w:cstheme="majorHAnsi"/>
                <w:sz w:val="20"/>
                <w:szCs w:val="20"/>
              </w:rPr>
            </w:pPr>
            <w:r w:rsidRPr="00002CEC">
              <w:rPr>
                <w:rFonts w:ascii="Verdana" w:hAnsi="Verdana" w:cstheme="majorHAnsi"/>
                <w:sz w:val="20"/>
                <w:szCs w:val="20"/>
              </w:rPr>
              <w:t>Inflation</w:t>
            </w:r>
          </w:p>
          <w:p w14:paraId="11D0C435" w14:textId="77777777" w:rsidR="00002CEC" w:rsidRDefault="00002CEC" w:rsidP="000D7E9C">
            <w:pPr>
              <w:ind w:left="0" w:firstLine="0"/>
              <w:rPr>
                <w:rFonts w:ascii="Verdana" w:hAnsi="Verdana" w:cstheme="majorHAnsi"/>
                <w:sz w:val="20"/>
                <w:szCs w:val="20"/>
              </w:rPr>
            </w:pPr>
            <w:r w:rsidRPr="00002CEC">
              <w:rPr>
                <w:rFonts w:ascii="Verdana" w:hAnsi="Verdana" w:cstheme="majorHAnsi"/>
                <w:sz w:val="20"/>
                <w:szCs w:val="20"/>
              </w:rPr>
              <w:t>Working Class</w:t>
            </w:r>
          </w:p>
          <w:p w14:paraId="1A8C9F7A" w14:textId="77777777" w:rsidR="00002CEC" w:rsidRDefault="00002CEC" w:rsidP="000D7E9C">
            <w:pPr>
              <w:ind w:left="0" w:firstLine="0"/>
              <w:rPr>
                <w:rFonts w:ascii="Verdana" w:hAnsi="Verdana" w:cstheme="majorHAnsi"/>
                <w:sz w:val="20"/>
                <w:szCs w:val="20"/>
              </w:rPr>
            </w:pPr>
            <w:r w:rsidRPr="00002CEC">
              <w:rPr>
                <w:rFonts w:ascii="Verdana" w:hAnsi="Verdana" w:cstheme="majorHAnsi"/>
                <w:sz w:val="20"/>
                <w:szCs w:val="20"/>
              </w:rPr>
              <w:t>Financial Issues</w:t>
            </w:r>
          </w:p>
          <w:p w14:paraId="51F241EB" w14:textId="1FCEC9E3" w:rsidR="00A93168" w:rsidRPr="00F77F56" w:rsidRDefault="00002CEC" w:rsidP="000D7E9C">
            <w:pPr>
              <w:ind w:left="0" w:firstLine="0"/>
              <w:rPr>
                <w:rFonts w:ascii="Verdana" w:hAnsi="Verdana" w:cstheme="majorHAnsi"/>
                <w:sz w:val="20"/>
                <w:szCs w:val="20"/>
              </w:rPr>
            </w:pPr>
            <w:r w:rsidRPr="00002CEC">
              <w:rPr>
                <w:rFonts w:ascii="Verdana" w:hAnsi="Verdana" w:cstheme="majorHAnsi"/>
                <w:sz w:val="20"/>
                <w:szCs w:val="20"/>
              </w:rPr>
              <w:t>Psychological Problems</w:t>
            </w:r>
          </w:p>
        </w:tc>
        <w:tc>
          <w:tcPr>
            <w:tcW w:w="6129" w:type="dxa"/>
            <w:vMerge/>
            <w:shd w:val="clear" w:color="auto" w:fill="auto"/>
          </w:tcPr>
          <w:p w14:paraId="55D7A5D1" w14:textId="77777777" w:rsidR="00A93168" w:rsidRDefault="00A93168" w:rsidP="000D7E9C">
            <w:pPr>
              <w:shd w:val="clear" w:color="auto" w:fill="FFFFFF"/>
              <w:tabs>
                <w:tab w:val="left" w:pos="709"/>
                <w:tab w:val="left" w:pos="851"/>
                <w:tab w:val="left" w:pos="993"/>
                <w:tab w:val="left" w:pos="1440"/>
              </w:tabs>
              <w:spacing w:before="120"/>
              <w:ind w:left="0" w:firstLine="0"/>
              <w:rPr>
                <w:rFonts w:ascii="Verdana" w:hAnsi="Verdana" w:cs="Arial"/>
                <w:color w:val="auto"/>
                <w:sz w:val="14"/>
                <w:szCs w:val="14"/>
              </w:rPr>
            </w:pPr>
          </w:p>
        </w:tc>
      </w:tr>
      <w:tr w:rsidR="00A93168" w14:paraId="2BEE9F7A" w14:textId="77777777" w:rsidTr="000D7E9C">
        <w:trPr>
          <w:trHeight w:val="219"/>
        </w:trPr>
        <w:tc>
          <w:tcPr>
            <w:tcW w:w="3618" w:type="dxa"/>
            <w:vMerge w:val="restart"/>
            <w:tcBorders>
              <w:top w:val="single" w:sz="8" w:space="0" w:color="auto"/>
            </w:tcBorders>
            <w:shd w:val="clear" w:color="auto" w:fill="auto"/>
          </w:tcPr>
          <w:p w14:paraId="4145DF85" w14:textId="77777777" w:rsidR="00A93168" w:rsidRDefault="00A93168" w:rsidP="000D7E9C">
            <w:pPr>
              <w:shd w:val="clear" w:color="auto" w:fill="FFFFFF"/>
              <w:tabs>
                <w:tab w:val="left" w:pos="709"/>
                <w:tab w:val="left" w:pos="851"/>
                <w:tab w:val="left" w:pos="993"/>
                <w:tab w:val="left" w:pos="1440"/>
              </w:tabs>
              <w:ind w:left="0" w:firstLine="0"/>
              <w:rPr>
                <w:rFonts w:ascii="Verdana" w:hAnsi="Verdana" w:cs="Arial"/>
                <w:b/>
                <w:bCs/>
                <w:i/>
                <w:iCs/>
                <w:color w:val="auto"/>
                <w:sz w:val="18"/>
                <w:szCs w:val="18"/>
              </w:rPr>
            </w:pPr>
            <w:r>
              <w:rPr>
                <w:rFonts w:ascii="Verdana" w:hAnsi="Verdana" w:cs="Arial"/>
                <w:b/>
                <w:bCs/>
                <w:i/>
                <w:iCs/>
                <w:color w:val="auto"/>
                <w:sz w:val="18"/>
                <w:szCs w:val="18"/>
              </w:rPr>
              <w:t>Funding:</w:t>
            </w:r>
          </w:p>
          <w:p w14:paraId="309CBBF2" w14:textId="77777777" w:rsidR="00A93168" w:rsidRDefault="00A93168" w:rsidP="000D7E9C">
            <w:pPr>
              <w:shd w:val="clear" w:color="auto" w:fill="FFFFFF"/>
              <w:tabs>
                <w:tab w:val="left" w:pos="709"/>
                <w:tab w:val="left" w:pos="851"/>
                <w:tab w:val="left" w:pos="993"/>
                <w:tab w:val="left" w:pos="1440"/>
              </w:tabs>
              <w:ind w:left="0" w:firstLine="0"/>
              <w:rPr>
                <w:rFonts w:ascii="Verdana" w:hAnsi="Verdana" w:cs="Arial"/>
                <w:color w:val="auto"/>
                <w:sz w:val="18"/>
                <w:szCs w:val="18"/>
              </w:rPr>
            </w:pPr>
            <w:r>
              <w:rPr>
                <w:rFonts w:ascii="Verdana" w:hAnsi="Verdana" w:cs="Arial"/>
                <w:color w:val="auto"/>
                <w:sz w:val="18"/>
                <w:szCs w:val="18"/>
              </w:rPr>
              <w:t>This research received no specific grant from any funding agency in the public, commercial, or not-for-profit sectors.</w:t>
            </w:r>
          </w:p>
        </w:tc>
        <w:tc>
          <w:tcPr>
            <w:tcW w:w="6129" w:type="dxa"/>
            <w:vMerge/>
            <w:shd w:val="clear" w:color="auto" w:fill="auto"/>
          </w:tcPr>
          <w:p w14:paraId="07E30976" w14:textId="77777777" w:rsidR="00A93168" w:rsidRDefault="00A93168" w:rsidP="000D7E9C">
            <w:pPr>
              <w:shd w:val="clear" w:color="auto" w:fill="FFFFFF"/>
              <w:tabs>
                <w:tab w:val="left" w:pos="709"/>
                <w:tab w:val="left" w:pos="851"/>
                <w:tab w:val="left" w:pos="993"/>
                <w:tab w:val="left" w:pos="1440"/>
              </w:tabs>
              <w:spacing w:before="120"/>
              <w:ind w:left="0" w:firstLine="0"/>
              <w:rPr>
                <w:rFonts w:ascii="Verdana" w:hAnsi="Verdana" w:cs="Arial"/>
                <w:b/>
                <w:bCs/>
                <w:i/>
                <w:iCs/>
                <w:color w:val="auto"/>
                <w:sz w:val="18"/>
                <w:szCs w:val="18"/>
              </w:rPr>
            </w:pPr>
          </w:p>
        </w:tc>
      </w:tr>
      <w:tr w:rsidR="00A93168" w14:paraId="2286FFCD" w14:textId="77777777" w:rsidTr="000D7E9C">
        <w:trPr>
          <w:trHeight w:val="382"/>
        </w:trPr>
        <w:tc>
          <w:tcPr>
            <w:tcW w:w="3618" w:type="dxa"/>
            <w:vMerge/>
            <w:shd w:val="clear" w:color="auto" w:fill="auto"/>
          </w:tcPr>
          <w:p w14:paraId="7C68DA37" w14:textId="77777777" w:rsidR="00A93168" w:rsidRDefault="00A93168" w:rsidP="000D7E9C">
            <w:pPr>
              <w:shd w:val="clear" w:color="auto" w:fill="FFFFFF"/>
              <w:tabs>
                <w:tab w:val="left" w:pos="709"/>
                <w:tab w:val="left" w:pos="851"/>
                <w:tab w:val="left" w:pos="993"/>
                <w:tab w:val="left" w:pos="1440"/>
              </w:tabs>
              <w:ind w:left="0" w:firstLine="0"/>
              <w:rPr>
                <w:rFonts w:ascii="Verdana" w:hAnsi="Verdana" w:cs="Arial"/>
                <w:b/>
                <w:bCs/>
                <w:i/>
                <w:iCs/>
                <w:color w:val="auto"/>
                <w:sz w:val="20"/>
                <w:szCs w:val="20"/>
              </w:rPr>
            </w:pPr>
          </w:p>
        </w:tc>
        <w:tc>
          <w:tcPr>
            <w:tcW w:w="6129" w:type="dxa"/>
            <w:tcBorders>
              <w:top w:val="nil"/>
            </w:tcBorders>
            <w:shd w:val="clear" w:color="auto" w:fill="auto"/>
          </w:tcPr>
          <w:p w14:paraId="5D887A72" w14:textId="77777777" w:rsidR="00A93168" w:rsidRDefault="00A93168" w:rsidP="000D7E9C">
            <w:pPr>
              <w:shd w:val="clear" w:color="auto" w:fill="FFFFFF"/>
              <w:tabs>
                <w:tab w:val="left" w:pos="709"/>
                <w:tab w:val="left" w:pos="851"/>
                <w:tab w:val="left" w:pos="993"/>
                <w:tab w:val="left" w:pos="1440"/>
              </w:tabs>
              <w:ind w:left="0" w:firstLine="0"/>
              <w:rPr>
                <w:rFonts w:ascii="Verdana" w:hAnsi="Verdana" w:cs="Calibri"/>
                <w:b/>
                <w:bCs/>
                <w:i/>
                <w:color w:val="auto"/>
                <w:sz w:val="14"/>
                <w:szCs w:val="14"/>
              </w:rPr>
            </w:pPr>
          </w:p>
          <w:p w14:paraId="57CE5B07" w14:textId="77777777" w:rsidR="00A93168" w:rsidRDefault="00A93168" w:rsidP="000D7E9C">
            <w:pPr>
              <w:shd w:val="clear" w:color="auto" w:fill="FFFFFF"/>
              <w:tabs>
                <w:tab w:val="left" w:pos="709"/>
                <w:tab w:val="left" w:pos="851"/>
                <w:tab w:val="left" w:pos="993"/>
                <w:tab w:val="left" w:pos="1440"/>
              </w:tabs>
              <w:ind w:left="0" w:firstLine="0"/>
              <w:rPr>
                <w:rFonts w:ascii="Verdana" w:hAnsi="Verdana" w:cs="Arial"/>
                <w:b/>
                <w:bCs/>
                <w:color w:val="auto"/>
              </w:rPr>
            </w:pPr>
            <w:r>
              <w:rPr>
                <w:rFonts w:ascii="Verdana" w:hAnsi="Verdana" w:cs="Calibri"/>
                <w:b/>
                <w:bCs/>
                <w:i/>
                <w:color w:val="auto"/>
                <w:sz w:val="14"/>
                <w:szCs w:val="14"/>
              </w:rPr>
              <w:t>© 2023 The Authors, Published by i</w:t>
            </w:r>
            <w:r>
              <w:rPr>
                <w:rFonts w:ascii="Verdana" w:hAnsi="Verdana" w:cs="Calibri"/>
                <w:b/>
                <w:bCs/>
                <w:color w:val="auto"/>
                <w:sz w:val="14"/>
                <w:szCs w:val="14"/>
              </w:rPr>
              <w:t>RASD</w:t>
            </w:r>
            <w:r>
              <w:rPr>
                <w:rFonts w:ascii="Verdana" w:hAnsi="Verdana" w:cs="Calibri"/>
                <w:b/>
                <w:bCs/>
                <w:i/>
                <w:color w:val="auto"/>
                <w:sz w:val="14"/>
                <w:szCs w:val="14"/>
              </w:rPr>
              <w:t xml:space="preserve">. This is an Open Access article distributed under the terms of the </w:t>
            </w:r>
            <w:hyperlink r:id="rId16" w:history="1">
              <w:r w:rsidRPr="001A7C87">
                <w:rPr>
                  <w:rStyle w:val="Hyperlink"/>
                  <w:rFonts w:ascii="Verdana" w:hAnsi="Verdana" w:cs="Calibri"/>
                  <w:b/>
                  <w:bCs/>
                  <w:iCs/>
                  <w:color w:val="auto"/>
                  <w:sz w:val="14"/>
                  <w:szCs w:val="14"/>
                  <w:u w:val="none"/>
                </w:rPr>
                <w:t>Creative Commons Attribution Non-Commercial License</w:t>
              </w:r>
            </w:hyperlink>
          </w:p>
        </w:tc>
      </w:tr>
    </w:tbl>
    <w:p w14:paraId="3010104C" w14:textId="22EE40C5" w:rsidR="00A93168" w:rsidRDefault="00A93168" w:rsidP="00702FF2">
      <w:pPr>
        <w:tabs>
          <w:tab w:val="left" w:pos="709"/>
        </w:tabs>
        <w:ind w:left="0" w:firstLine="0"/>
        <w:jc w:val="left"/>
        <w:rPr>
          <w:rFonts w:ascii="Verdana" w:hAnsi="Verdana" w:cs="Arial"/>
          <w:color w:val="auto"/>
          <w:sz w:val="20"/>
          <w:szCs w:val="20"/>
        </w:rPr>
      </w:pPr>
      <w:r>
        <w:rPr>
          <w:rFonts w:ascii="Verdana" w:hAnsi="Verdana" w:cs="Arial"/>
          <w:color w:val="auto"/>
          <w:sz w:val="20"/>
          <w:szCs w:val="20"/>
        </w:rPr>
        <w:t>Corresponding Author’s Email:</w:t>
      </w:r>
      <w:r w:rsidR="0057216C" w:rsidRPr="0057216C">
        <w:t xml:space="preserve"> </w:t>
      </w:r>
      <w:r w:rsidR="00002CEC" w:rsidRPr="00002CEC">
        <w:rPr>
          <w:rFonts w:ascii="Verdana" w:hAnsi="Verdana" w:cs="Arial"/>
          <w:color w:val="auto"/>
          <w:sz w:val="20"/>
          <w:szCs w:val="20"/>
        </w:rPr>
        <w:t>laiba.Anvar@gmail.com</w:t>
      </w:r>
    </w:p>
    <w:p w14:paraId="734E0F9E" w14:textId="77777777" w:rsidR="00A93168" w:rsidRDefault="00A93168" w:rsidP="00702FF2">
      <w:pPr>
        <w:tabs>
          <w:tab w:val="left" w:pos="709"/>
        </w:tabs>
        <w:ind w:left="0" w:firstLine="0"/>
        <w:jc w:val="left"/>
        <w:rPr>
          <w:rFonts w:ascii="Verdana" w:hAnsi="Verdana"/>
          <w:bCs/>
          <w:color w:val="auto"/>
          <w:sz w:val="16"/>
          <w:szCs w:val="16"/>
        </w:rPr>
      </w:pPr>
    </w:p>
    <w:p w14:paraId="14BA22B4" w14:textId="77777777" w:rsidR="00A93168" w:rsidRDefault="00A93168" w:rsidP="00702FF2">
      <w:pPr>
        <w:numPr>
          <w:ilvl w:val="0"/>
          <w:numId w:val="5"/>
        </w:numPr>
        <w:tabs>
          <w:tab w:val="left" w:pos="709"/>
        </w:tabs>
        <w:ind w:hanging="1980"/>
        <w:rPr>
          <w:rFonts w:ascii="Verdana" w:hAnsi="Verdana"/>
          <w:b/>
          <w:sz w:val="22"/>
          <w:szCs w:val="22"/>
        </w:rPr>
      </w:pPr>
      <w:r>
        <w:rPr>
          <w:rFonts w:ascii="Verdana" w:hAnsi="Verdana"/>
          <w:b/>
          <w:sz w:val="22"/>
          <w:szCs w:val="22"/>
        </w:rPr>
        <w:t>Introduction</w:t>
      </w:r>
    </w:p>
    <w:p w14:paraId="175466AA" w14:textId="77777777" w:rsidR="00DE5495" w:rsidRPr="001F4572" w:rsidRDefault="00002CEC" w:rsidP="00DE5495">
      <w:pPr>
        <w:shd w:val="clear" w:color="auto" w:fill="FFFFFF"/>
        <w:ind w:left="0" w:firstLine="720"/>
        <w:rPr>
          <w:rFonts w:ascii="Verdana" w:hAnsi="Verdana"/>
          <w:color w:val="000000" w:themeColor="text1"/>
          <w:sz w:val="20"/>
          <w:szCs w:val="20"/>
        </w:rPr>
      </w:pPr>
      <w:r w:rsidRPr="001F4572">
        <w:rPr>
          <w:rFonts w:ascii="Verdana" w:hAnsi="Verdana"/>
          <w:color w:val="000000" w:themeColor="text1"/>
          <w:sz w:val="20"/>
          <w:szCs w:val="20"/>
        </w:rPr>
        <w:t>Inflation is a silent power that affects every aspect of our daily lives, from the price of food to the cost of housing. But one group that often bears the worst effects of inflation is the daily wage working class. These people, whose daily income is all they need to survive, are constantly up against growing costs and dwindling purchasing power. Inflation in Pakistan has reached the highest level in the country's history. In Azad Kashmir too, inflation has broken the back of people. In the current situation of Azad Kashmir, people are protesting against inflation in different cities of Azad Kashmir. In almost all three divisions of Azad Kashmir, people have started civil disobedience movement, people burn electricity bills publicly, along with the increase in food prices; they have to pay heavy electricity bills. The recent inflation in Azad Kashmir has made it difficult for the poor people to live. Inflation influences different classes in the society in different ways. It does not affect everyone the same way. This study specifically focuses on the daily wage working class. The working class faces danger because they are unable to keep up with the quickly increasing expenses of housing, food, petrol, and other everyday essentials. Workers earning a daily income are impacted by inflation. The rise in product prices is not being matched by the rise in worker earnings. Their level of living thus declines along with their real wages.</w:t>
      </w:r>
    </w:p>
    <w:p w14:paraId="602B1C53" w14:textId="77777777" w:rsidR="00DE5495" w:rsidRPr="001F4572" w:rsidRDefault="00DE5495" w:rsidP="00DE5495">
      <w:pPr>
        <w:shd w:val="clear" w:color="auto" w:fill="FFFFFF"/>
        <w:ind w:left="0" w:firstLine="720"/>
        <w:rPr>
          <w:rFonts w:ascii="Verdana" w:hAnsi="Verdana"/>
          <w:color w:val="000000" w:themeColor="text1"/>
          <w:sz w:val="20"/>
          <w:szCs w:val="20"/>
        </w:rPr>
      </w:pPr>
    </w:p>
    <w:p w14:paraId="0A4999C2" w14:textId="44D3E7AB" w:rsidR="00DE5495" w:rsidRPr="001F4572" w:rsidRDefault="00002CEC" w:rsidP="00DE5495">
      <w:pPr>
        <w:shd w:val="clear" w:color="auto" w:fill="FFFFFF"/>
        <w:ind w:left="0" w:firstLine="720"/>
        <w:rPr>
          <w:rFonts w:ascii="Verdana" w:hAnsi="Verdana"/>
          <w:color w:val="000000" w:themeColor="text1"/>
          <w:sz w:val="20"/>
          <w:szCs w:val="20"/>
        </w:rPr>
      </w:pPr>
      <w:r w:rsidRPr="001F4572">
        <w:rPr>
          <w:rFonts w:ascii="Verdana" w:hAnsi="Verdana"/>
          <w:color w:val="000000" w:themeColor="text1"/>
          <w:sz w:val="20"/>
          <w:szCs w:val="20"/>
        </w:rPr>
        <w:lastRenderedPageBreak/>
        <w:t>Kashmir's economy is mostly in the process of development. When compared to the growth of other parts of the country, Azad Kashmir's per capita income and province GDP estimates are relatively low, despite the fact that the region's literacy rate is significantly higher than the national average. The economy of Azad Kashmir is mostly based on agriculture, but it also depends on the remittances that the vast Kashmiri diaspora sends home each year. Azad Kashmir's economy has difficulties, such as the aftermath of the deadly 2005 Kashmir earthquake, from which the area is currently rebuilding. Compared to September 2013, when Azad Kashmir's GDP was expected to be $3.2 billion, as of 2022, Azad Jammu and Kashmir's GDP was estimated to be US$6.6 billion, or 1512 USD per capita.</w:t>
      </w:r>
      <w:r w:rsidR="00DE5495" w:rsidRPr="001F4572">
        <w:rPr>
          <w:rFonts w:ascii="Verdana" w:hAnsi="Verdana"/>
          <w:color w:val="000000" w:themeColor="text1"/>
          <w:sz w:val="20"/>
          <w:szCs w:val="20"/>
        </w:rPr>
        <w:t xml:space="preserve"> </w:t>
      </w:r>
      <w:r w:rsidRPr="001F4572">
        <w:rPr>
          <w:rFonts w:ascii="Verdana" w:hAnsi="Verdana"/>
          <w:color w:val="000000" w:themeColor="text1"/>
          <w:sz w:val="20"/>
          <w:szCs w:val="20"/>
        </w:rPr>
        <w:t>In Azad Kashmir, as in the rest of the country, inflation is at an all-time high. Food prices have skyrocketed, affecting not just the poor but even the upper crust. Residents protested against the closure of schools and a wheel jam strike across Azad Kashmir in response to rising energy bills and food costs. In addition to the metropolitan regions of Poonch and Mirpur divisions, residents took to the streets in rural areas. Keeping in mind the overwhelming popular opposition to inflation, Azad Kashmir Government personnel were told not to travel during the strike. There were no automobiles on the road, and no market was visible to be operating. Citizens claim that excessive levies are levied on electrical bills, making gas and diesel unaffordable. According to images from Kotli, Plandri, Rawalakot, Bagh, and Dhirkot, a significant public reaction has been offered under the supervision of local groups, traders, and public Action Committees</w:t>
      </w:r>
      <w:r w:rsidR="006B28ED" w:rsidRPr="001F4572">
        <w:rPr>
          <w:rFonts w:ascii="Verdana" w:hAnsi="Verdana"/>
          <w:color w:val="000000" w:themeColor="text1"/>
          <w:sz w:val="20"/>
          <w:szCs w:val="20"/>
        </w:rPr>
        <w:t xml:space="preserve"> </w:t>
      </w:r>
      <w:r w:rsidR="001F4572">
        <w:rPr>
          <w:rFonts w:ascii="Verdana" w:hAnsi="Verdana"/>
          <w:color w:val="000000" w:themeColor="text1"/>
          <w:sz w:val="20"/>
          <w:szCs w:val="20"/>
        </w:rPr>
        <w:fldChar w:fldCharType="begin"/>
      </w:r>
      <w:r w:rsidR="001F4572">
        <w:rPr>
          <w:rFonts w:ascii="Verdana" w:hAnsi="Verdana"/>
          <w:color w:val="000000" w:themeColor="text1"/>
          <w:sz w:val="20"/>
          <w:szCs w:val="20"/>
        </w:rPr>
        <w:instrText xml:space="preserve"> ADDIN EN.CITE &lt;EndNote&gt;&lt;Cite&gt;&lt;Author&gt;Faisal&lt;/Author&gt;&lt;Year&gt;2023&lt;/Year&gt;&lt;RecNum&gt;11&lt;/RecNum&gt;&lt;DisplayText&gt;(Faisal, 2023)&lt;/DisplayText&gt;&lt;record&gt;&lt;rec-number&gt;11&lt;/rec-number&gt;&lt;foreign-keys&gt;&lt;key app="EN" db-id="pvrspszxqt55a1ev0x0xas0rzste5t0vafdf" timestamp="1699198674"&gt;11&lt;/key&gt;&lt;/foreign-keys&gt;&lt;ref-type name="Journal Article"&gt;17&lt;/ref-type&gt;&lt;contributors&gt;&lt;authors&gt;&lt;author&gt;Faisal, K. &lt;/author&gt;&lt;/authors&gt;&lt;/contributors&gt;&lt;titles&gt;&lt;title&gt;Shutter down Strike across 7 Districts of AJK amid High Electricity Bills &amp;amp; Inflation Row&lt;/title&gt;&lt;secondary-title&gt;Dawn news&lt;/secondary-title&gt;&lt;/titles&gt;&lt;periodical&gt;&lt;full-title&gt;Dawn news&lt;/full-title&gt;&lt;/periodical&gt;&lt;dates&gt;&lt;year&gt;2023&lt;/year&gt;&lt;/dates&gt;&lt;urls&gt;&lt;/urls&gt;&lt;/record&gt;&lt;/Cite&gt;&lt;/EndNote&gt;</w:instrText>
      </w:r>
      <w:r w:rsidR="001F4572">
        <w:rPr>
          <w:rFonts w:ascii="Verdana" w:hAnsi="Verdana"/>
          <w:color w:val="000000" w:themeColor="text1"/>
          <w:sz w:val="20"/>
          <w:szCs w:val="20"/>
        </w:rPr>
        <w:fldChar w:fldCharType="separate"/>
      </w:r>
      <w:r w:rsidR="001F4572">
        <w:rPr>
          <w:rFonts w:ascii="Verdana" w:hAnsi="Verdana"/>
          <w:noProof/>
          <w:color w:val="000000" w:themeColor="text1"/>
          <w:sz w:val="20"/>
          <w:szCs w:val="20"/>
        </w:rPr>
        <w:t>(Faisal, 2023)</w:t>
      </w:r>
      <w:r w:rsidR="001F4572">
        <w:rPr>
          <w:rFonts w:ascii="Verdana" w:hAnsi="Verdana"/>
          <w:color w:val="000000" w:themeColor="text1"/>
          <w:sz w:val="20"/>
          <w:szCs w:val="20"/>
        </w:rPr>
        <w:fldChar w:fldCharType="end"/>
      </w:r>
      <w:r w:rsidR="006B28ED" w:rsidRPr="001F4572">
        <w:rPr>
          <w:rFonts w:ascii="Verdana" w:hAnsi="Verdana"/>
          <w:color w:val="000000" w:themeColor="text1"/>
          <w:sz w:val="20"/>
          <w:szCs w:val="20"/>
        </w:rPr>
        <w:t xml:space="preserve">. </w:t>
      </w:r>
      <w:r w:rsidRPr="001F4572">
        <w:rPr>
          <w:rFonts w:ascii="Verdana" w:hAnsi="Verdana"/>
          <w:color w:val="000000" w:themeColor="text1"/>
          <w:sz w:val="20"/>
          <w:szCs w:val="20"/>
        </w:rPr>
        <w:t xml:space="preserve"> </w:t>
      </w:r>
    </w:p>
    <w:p w14:paraId="3AF2EFFD" w14:textId="77777777" w:rsidR="00DE5495" w:rsidRPr="001F4572" w:rsidRDefault="00DE5495" w:rsidP="00DE5495">
      <w:pPr>
        <w:shd w:val="clear" w:color="auto" w:fill="FFFFFF"/>
        <w:ind w:left="0" w:firstLine="720"/>
        <w:rPr>
          <w:rFonts w:ascii="Verdana" w:hAnsi="Verdana"/>
          <w:color w:val="000000" w:themeColor="text1"/>
          <w:sz w:val="20"/>
          <w:szCs w:val="20"/>
        </w:rPr>
      </w:pPr>
    </w:p>
    <w:p w14:paraId="366C68E4" w14:textId="170B7685" w:rsidR="00DE5495" w:rsidRPr="001F4572" w:rsidRDefault="00002CEC" w:rsidP="00DE5495">
      <w:pPr>
        <w:shd w:val="clear" w:color="auto" w:fill="FFFFFF"/>
        <w:ind w:left="0" w:firstLine="720"/>
        <w:rPr>
          <w:rFonts w:ascii="Verdana" w:hAnsi="Verdana"/>
          <w:color w:val="000000" w:themeColor="text1"/>
          <w:sz w:val="20"/>
          <w:szCs w:val="20"/>
        </w:rPr>
      </w:pPr>
      <w:r w:rsidRPr="001F4572">
        <w:rPr>
          <w:rFonts w:ascii="Verdana" w:hAnsi="Verdana"/>
          <w:color w:val="000000" w:themeColor="text1"/>
          <w:sz w:val="20"/>
          <w:szCs w:val="20"/>
        </w:rPr>
        <w:t>Throughout the year, inflation has been a popular issue, and it doesn't appear like it will go away anytime soon. A number of factors are coming together to create a perfect storm that will cause inflation, including faster wage growth, higher savings, more consumer spending, a lack of commodities, price gouging, and pressure on the service industry as consumers transfer their post-pandemic spending from items to experiences</w:t>
      </w:r>
      <w:r w:rsidR="006B28ED" w:rsidRPr="001F4572">
        <w:rPr>
          <w:rFonts w:ascii="Verdana" w:hAnsi="Verdana"/>
          <w:color w:val="000000" w:themeColor="text1"/>
          <w:sz w:val="20"/>
          <w:szCs w:val="20"/>
        </w:rPr>
        <w:t xml:space="preserve"> </w:t>
      </w:r>
      <w:r w:rsidR="001F4572">
        <w:rPr>
          <w:rFonts w:ascii="Verdana" w:hAnsi="Verdana"/>
          <w:color w:val="000000" w:themeColor="text1"/>
          <w:sz w:val="20"/>
          <w:szCs w:val="20"/>
        </w:rPr>
        <w:fldChar w:fldCharType="begin"/>
      </w:r>
      <w:r w:rsidR="001F4572">
        <w:rPr>
          <w:rFonts w:ascii="Verdana" w:hAnsi="Verdana"/>
          <w:color w:val="000000" w:themeColor="text1"/>
          <w:sz w:val="20"/>
          <w:szCs w:val="20"/>
        </w:rPr>
        <w:instrText xml:space="preserve"> ADDIN EN.CITE &lt;EndNote&gt;&lt;Cite&gt;&lt;Author&gt;Alla&lt;/Author&gt;&lt;Year&gt;2019&lt;/Year&gt;&lt;RecNum&gt;1&lt;/RecNum&gt;&lt;DisplayText&gt;(Alla, 2019)&lt;/DisplayText&gt;&lt;record&gt;&lt;rec-number&gt;1&lt;/rec-number&gt;&lt;foreign-keys&gt;&lt;key app="EN" db-id="pvrspszxqt55a1ev0x0xas0rzste5t0vafdf" timestamp="1699198098"&gt;1&lt;/key&gt;&lt;/foreign-keys&gt;&lt;ref-type name="Conference Proceedings"&gt;10&lt;/ref-type&gt;&lt;contributors&gt;&lt;authors&gt;&lt;author&gt;Alla, Leonidova&lt;/author&gt;&lt;/authors&gt;&lt;/contributors&gt;&lt;titles&gt;&lt;title&gt;The effect of inflation on welfare of the population and Russian market capacity&lt;/title&gt;&lt;secondary-title&gt;SHS Web of Conferences&lt;/secondary-title&gt;&lt;/titles&gt;&lt;pages&gt;00071&lt;/pages&gt;&lt;volume&gt;69&lt;/volume&gt;&lt;dates&gt;&lt;year&gt;2019&lt;/year&gt;&lt;/dates&gt;&lt;publisher&gt;EDP Sciences&lt;/publisher&gt;&lt;isbn&gt;2261-2424&lt;/isbn&gt;&lt;urls&gt;&lt;/urls&gt;&lt;electronic-resource-num&gt;https://doi.org/10.1051/shsconf/20196900071&lt;/electronic-resource-num&gt;&lt;/record&gt;&lt;/Cite&gt;&lt;/EndNote&gt;</w:instrText>
      </w:r>
      <w:r w:rsidR="001F4572">
        <w:rPr>
          <w:rFonts w:ascii="Verdana" w:hAnsi="Verdana"/>
          <w:color w:val="000000" w:themeColor="text1"/>
          <w:sz w:val="20"/>
          <w:szCs w:val="20"/>
        </w:rPr>
        <w:fldChar w:fldCharType="separate"/>
      </w:r>
      <w:r w:rsidR="001F4572">
        <w:rPr>
          <w:rFonts w:ascii="Verdana" w:hAnsi="Verdana"/>
          <w:noProof/>
          <w:color w:val="000000" w:themeColor="text1"/>
          <w:sz w:val="20"/>
          <w:szCs w:val="20"/>
        </w:rPr>
        <w:t>(Alla, 2019)</w:t>
      </w:r>
      <w:r w:rsidR="001F4572">
        <w:rPr>
          <w:rFonts w:ascii="Verdana" w:hAnsi="Verdana"/>
          <w:color w:val="000000" w:themeColor="text1"/>
          <w:sz w:val="20"/>
          <w:szCs w:val="20"/>
        </w:rPr>
        <w:fldChar w:fldCharType="end"/>
      </w:r>
      <w:r w:rsidR="006B28ED" w:rsidRPr="001F4572">
        <w:rPr>
          <w:rFonts w:ascii="Verdana" w:hAnsi="Verdana"/>
          <w:color w:val="000000" w:themeColor="text1"/>
          <w:sz w:val="20"/>
          <w:szCs w:val="20"/>
        </w:rPr>
        <w:t xml:space="preserve">. </w:t>
      </w:r>
      <w:r w:rsidRPr="001F4572">
        <w:rPr>
          <w:rFonts w:ascii="Verdana" w:hAnsi="Verdana"/>
          <w:color w:val="000000" w:themeColor="text1"/>
          <w:sz w:val="20"/>
          <w:szCs w:val="20"/>
        </w:rPr>
        <w:t xml:space="preserve"> The increase in prices of products and services over a predetermined period of time is known as inflation. Consumers lose purchasing power as prices rise, which reduces the purchasing power of a single unit of cash. A small amount of inflation is usually not a reason for alarm, but excessive price increases can be. Poor households bear a disproportionate amount of the burden of inflation since they are mostly hand-to-mouth consumers. Even slight price increases have a significant impact on their consumption in comparison to wealthier families. Furthermore, unchecked inflation creates poverty traps. It compels low-income households to eat inferior food in order to prevent famine, which may have an impact on the cognitive development of their children. Because they lack the resources to maintain their purchasing power, the poor are especially vulnerable to inflation. They are unable to use credit to balance their consumption since they have little or no access to the financial markets. If they do have access, they typically rely on debt from unofficial markets to cover their essential expenses. Furthermore, as they typically receive their income from non-formal sources as well, they are not protected against price increases by public or private institutional structures. Furthermore, they are unable to save money, therefore they are unable to purchase indexed financial instruments to preserve the value of their assets or utilize it to continue their current level of spending. On the other hand, those instruments are more accessible to high- and middle-class households, whose access to them grows as their income does. Therefore, measures to control inflation constitute a battle against inequality as well as the vulnerabilities of the poor</w:t>
      </w:r>
      <w:r w:rsidR="006B28ED" w:rsidRPr="001F4572">
        <w:rPr>
          <w:rFonts w:ascii="Verdana" w:hAnsi="Verdana"/>
          <w:color w:val="000000" w:themeColor="text1"/>
          <w:sz w:val="20"/>
          <w:szCs w:val="20"/>
        </w:rPr>
        <w:t xml:space="preserve"> </w:t>
      </w:r>
      <w:r w:rsidR="001F4572">
        <w:rPr>
          <w:rFonts w:ascii="Verdana" w:hAnsi="Verdana"/>
          <w:color w:val="000000" w:themeColor="text1"/>
          <w:sz w:val="20"/>
          <w:szCs w:val="20"/>
        </w:rPr>
        <w:fldChar w:fldCharType="begin"/>
      </w:r>
      <w:r w:rsidR="001F4572">
        <w:rPr>
          <w:rFonts w:ascii="Verdana" w:hAnsi="Verdana"/>
          <w:color w:val="000000" w:themeColor="text1"/>
          <w:sz w:val="20"/>
          <w:szCs w:val="20"/>
        </w:rPr>
        <w:instrText xml:space="preserve"> ADDIN EN.CITE &lt;EndNote&gt;&lt;Cite&gt;&lt;Author&gt;Barros&lt;/Author&gt;&lt;Year&gt;2022&lt;/Year&gt;&lt;RecNum&gt;4&lt;/RecNum&gt;&lt;DisplayText&gt;(Barros, 2022)&lt;/DisplayText&gt;&lt;record&gt;&lt;rec-number&gt;4&lt;/rec-number&gt;&lt;foreign-keys&gt;&lt;key app="EN" db-id="pvrspszxqt55a1ev0x0xas0rzste5t0vafdf" timestamp="1699198305"&gt;4&lt;/key&gt;&lt;/foreign-keys&gt;&lt;ref-type name="Journal Article"&gt;17&lt;/ref-type&gt;&lt;contributors&gt;&lt;authors&gt;&lt;author&gt;Barros, Luciano Alencar&lt;/author&gt;&lt;/authors&gt;&lt;/contributors&gt;&lt;titles&gt;&lt;title&gt;The relationship between inflation and unemployment in the USA in the surplus approach&lt;/title&gt;&lt;secondary-title&gt;Atlantic Review of Economics: Revista Atlántica de Economía&lt;/secondary-title&gt;&lt;/titles&gt;&lt;periodical&gt;&lt;full-title&gt;Atlantic Review of Economics: Revista Atlántica de Economía&lt;/full-title&gt;&lt;/periodical&gt;&lt;pages&gt;2&lt;/pages&gt;&lt;volume&gt;5&lt;/volume&gt;&lt;number&gt;2&lt;/number&gt;&lt;dates&gt;&lt;year&gt;2022&lt;/year&gt;&lt;/dates&gt;&lt;isbn&gt;2174-3835&lt;/isbn&gt;&lt;urls&gt;&lt;/urls&gt;&lt;/record&gt;&lt;/Cite&gt;&lt;/EndNote&gt;</w:instrText>
      </w:r>
      <w:r w:rsidR="001F4572">
        <w:rPr>
          <w:rFonts w:ascii="Verdana" w:hAnsi="Verdana"/>
          <w:color w:val="000000" w:themeColor="text1"/>
          <w:sz w:val="20"/>
          <w:szCs w:val="20"/>
        </w:rPr>
        <w:fldChar w:fldCharType="separate"/>
      </w:r>
      <w:r w:rsidR="001F4572">
        <w:rPr>
          <w:rFonts w:ascii="Verdana" w:hAnsi="Verdana"/>
          <w:noProof/>
          <w:color w:val="000000" w:themeColor="text1"/>
          <w:sz w:val="20"/>
          <w:szCs w:val="20"/>
        </w:rPr>
        <w:t>(Barros, 2022)</w:t>
      </w:r>
      <w:r w:rsidR="001F4572">
        <w:rPr>
          <w:rFonts w:ascii="Verdana" w:hAnsi="Verdana"/>
          <w:color w:val="000000" w:themeColor="text1"/>
          <w:sz w:val="20"/>
          <w:szCs w:val="20"/>
        </w:rPr>
        <w:fldChar w:fldCharType="end"/>
      </w:r>
      <w:r w:rsidR="006B28ED" w:rsidRPr="001F4572">
        <w:rPr>
          <w:rFonts w:ascii="Verdana" w:hAnsi="Verdana"/>
          <w:color w:val="000000" w:themeColor="text1"/>
          <w:sz w:val="20"/>
          <w:szCs w:val="20"/>
        </w:rPr>
        <w:t xml:space="preserve">. </w:t>
      </w:r>
      <w:r w:rsidRPr="001F4572">
        <w:rPr>
          <w:rFonts w:ascii="Verdana" w:hAnsi="Verdana"/>
          <w:color w:val="000000" w:themeColor="text1"/>
          <w:sz w:val="20"/>
          <w:szCs w:val="20"/>
        </w:rPr>
        <w:t xml:space="preserve"> </w:t>
      </w:r>
    </w:p>
    <w:p w14:paraId="51960F58" w14:textId="77777777" w:rsidR="00DE5495" w:rsidRPr="001F4572" w:rsidRDefault="00DE5495" w:rsidP="00DE5495">
      <w:pPr>
        <w:shd w:val="clear" w:color="auto" w:fill="FFFFFF"/>
        <w:ind w:left="0" w:firstLine="720"/>
        <w:rPr>
          <w:rFonts w:ascii="Verdana" w:hAnsi="Verdana"/>
          <w:color w:val="000000" w:themeColor="text1"/>
          <w:sz w:val="20"/>
          <w:szCs w:val="20"/>
        </w:rPr>
      </w:pPr>
    </w:p>
    <w:p w14:paraId="314001FF" w14:textId="7F26FDCC" w:rsidR="00002CEC" w:rsidRPr="001F4572" w:rsidRDefault="00002CEC" w:rsidP="00DE5495">
      <w:pPr>
        <w:shd w:val="clear" w:color="auto" w:fill="FFFFFF"/>
        <w:ind w:left="0" w:firstLine="720"/>
        <w:rPr>
          <w:rFonts w:ascii="Verdana" w:hAnsi="Verdana"/>
          <w:color w:val="000000" w:themeColor="text1"/>
          <w:sz w:val="20"/>
          <w:szCs w:val="20"/>
        </w:rPr>
      </w:pPr>
      <w:r w:rsidRPr="001F4572">
        <w:rPr>
          <w:rFonts w:ascii="Verdana" w:eastAsia="sans-serif" w:hAnsi="Verdana"/>
          <w:color w:val="000000" w:themeColor="text1"/>
          <w:spacing w:val="1"/>
          <w:sz w:val="20"/>
          <w:szCs w:val="20"/>
          <w:shd w:val="clear" w:color="auto" w:fill="FFFFFF"/>
        </w:rPr>
        <w:t>The high rate of inflation in 2022 is attributed by economists to shortages brought on by issues with the supply chain resulting from the Covid-19 outbreak. The pandemic's supply-chain problems made it impossible to get the ingredients needed to make items, which resulted in a scarcity and increased pricing. Due to the pandemic's sharp rise in consumer spending brought on by federal stimulus cheques, supply did not keep up with demand. Russia's invasion of Ukraine exacerbated these problems by upsetting the food and gas supplies, leading to shortages and higher costs. Although they are related measures, inflation and cost of living are not the same</w:t>
      </w:r>
      <w:r w:rsidR="006B28ED" w:rsidRPr="001F4572">
        <w:rPr>
          <w:rFonts w:ascii="Verdana" w:eastAsia="sans-serif" w:hAnsi="Verdana"/>
          <w:color w:val="000000" w:themeColor="text1"/>
          <w:spacing w:val="1"/>
          <w:sz w:val="20"/>
          <w:szCs w:val="20"/>
          <w:shd w:val="clear" w:color="auto" w:fill="FFFFFF"/>
        </w:rPr>
        <w:t xml:space="preserve"> </w:t>
      </w:r>
      <w:r w:rsidR="001F4572">
        <w:rPr>
          <w:rFonts w:ascii="Verdana" w:eastAsia="sans-serif" w:hAnsi="Verdana"/>
          <w:color w:val="000000" w:themeColor="text1"/>
          <w:spacing w:val="1"/>
          <w:sz w:val="20"/>
          <w:szCs w:val="20"/>
          <w:shd w:val="clear" w:color="auto" w:fill="FFFFFF"/>
        </w:rPr>
        <w:fldChar w:fldCharType="begin"/>
      </w:r>
      <w:r w:rsidR="001F4572">
        <w:rPr>
          <w:rFonts w:ascii="Verdana" w:eastAsia="sans-serif" w:hAnsi="Verdana"/>
          <w:color w:val="000000" w:themeColor="text1"/>
          <w:spacing w:val="1"/>
          <w:sz w:val="20"/>
          <w:szCs w:val="20"/>
          <w:shd w:val="clear" w:color="auto" w:fill="FFFFFF"/>
        </w:rPr>
        <w:instrText xml:space="preserve"> ADDIN EN.CITE &lt;EndNote&gt;&lt;Cite&gt;&lt;Author&gt;Comin&lt;/Author&gt;&lt;Year&gt;2023&lt;/Year&gt;&lt;RecNum&gt;8&lt;/RecNum&gt;&lt;DisplayText&gt;(Comin, Johnson, &amp;amp; Jones, 2023)&lt;/DisplayText&gt;&lt;record&gt;&lt;rec-number&gt;8&lt;/rec-number&gt;&lt;foreign-keys&gt;&lt;key app="EN" db-id="pvrspszxqt55a1ev0x0xas0rzste5t0vafdf" timestamp="1699198503"&gt;8&lt;/key&gt;&lt;/foreign-keys&gt;&lt;ref-type name="Report"&gt;27&lt;/ref-type&gt;&lt;contributors&gt;&lt;authors&gt;&lt;author&gt;Comin, Diego A&lt;/author&gt;&lt;author&gt;Johnson, Robert C&lt;/author&gt;&lt;author&gt;Jones, Callum J&lt;/author&gt;&lt;/authors&gt;&lt;/contributors&gt;&lt;titles&gt;&lt;title&gt;Supply chain constraints and inflation&lt;/title&gt;&lt;/titles&gt;&lt;dates&gt;&lt;year&gt;2023&lt;/year&gt;&lt;/dates&gt;&lt;publisher&gt;National Bureau of Economic Research&lt;/publisher&gt;&lt;urls&gt;&lt;/urls&gt;&lt;electronic-resource-num&gt;https://doi.org/10.3386/w31179&lt;/electronic-resource-num&gt;&lt;/record&gt;&lt;/Cite&gt;&lt;/EndNote&gt;</w:instrText>
      </w:r>
      <w:r w:rsidR="001F4572">
        <w:rPr>
          <w:rFonts w:ascii="Verdana" w:eastAsia="sans-serif" w:hAnsi="Verdana"/>
          <w:color w:val="000000" w:themeColor="text1"/>
          <w:spacing w:val="1"/>
          <w:sz w:val="20"/>
          <w:szCs w:val="20"/>
          <w:shd w:val="clear" w:color="auto" w:fill="FFFFFF"/>
        </w:rPr>
        <w:fldChar w:fldCharType="separate"/>
      </w:r>
      <w:r w:rsidR="001F4572">
        <w:rPr>
          <w:rFonts w:ascii="Verdana" w:eastAsia="sans-serif" w:hAnsi="Verdana"/>
          <w:noProof/>
          <w:color w:val="000000" w:themeColor="text1"/>
          <w:spacing w:val="1"/>
          <w:sz w:val="20"/>
          <w:szCs w:val="20"/>
          <w:shd w:val="clear" w:color="auto" w:fill="FFFFFF"/>
        </w:rPr>
        <w:t>(Comin, Johnson, &amp; Jones, 2023)</w:t>
      </w:r>
      <w:r w:rsidR="001F4572">
        <w:rPr>
          <w:rFonts w:ascii="Verdana" w:eastAsia="sans-serif" w:hAnsi="Verdana"/>
          <w:color w:val="000000" w:themeColor="text1"/>
          <w:spacing w:val="1"/>
          <w:sz w:val="20"/>
          <w:szCs w:val="20"/>
          <w:shd w:val="clear" w:color="auto" w:fill="FFFFFF"/>
        </w:rPr>
        <w:fldChar w:fldCharType="end"/>
      </w:r>
      <w:r w:rsidRPr="001F4572">
        <w:rPr>
          <w:rFonts w:ascii="Verdana" w:eastAsia="sans-serif" w:hAnsi="Verdana"/>
          <w:color w:val="000000" w:themeColor="text1"/>
          <w:spacing w:val="1"/>
          <w:sz w:val="20"/>
          <w:szCs w:val="20"/>
          <w:shd w:val="clear" w:color="auto" w:fill="FFFFFF"/>
        </w:rPr>
        <w:t>. The term "inflation," which is extremely contentious, refers to the meteoric rise in commodity prices brought on by an excessive growth in the amount of money in circulation</w:t>
      </w:r>
      <w:r w:rsidR="001F4572" w:rsidRPr="001F4572">
        <w:rPr>
          <w:rFonts w:ascii="Verdana" w:eastAsia="sans-serif" w:hAnsi="Verdana"/>
          <w:color w:val="000000" w:themeColor="text1"/>
          <w:spacing w:val="1"/>
          <w:sz w:val="20"/>
          <w:szCs w:val="20"/>
          <w:shd w:val="clear" w:color="auto" w:fill="FFFFFF"/>
        </w:rPr>
        <w:t xml:space="preserve"> </w:t>
      </w:r>
      <w:r w:rsidR="001F4572">
        <w:rPr>
          <w:rFonts w:ascii="Verdana" w:eastAsia="sans-serif" w:hAnsi="Verdana"/>
          <w:color w:val="000000" w:themeColor="text1"/>
          <w:spacing w:val="1"/>
          <w:sz w:val="20"/>
          <w:szCs w:val="20"/>
          <w:shd w:val="clear" w:color="auto" w:fill="FFFFFF"/>
        </w:rPr>
        <w:fldChar w:fldCharType="begin"/>
      </w:r>
      <w:r w:rsidR="001F4572">
        <w:rPr>
          <w:rFonts w:ascii="Verdana" w:eastAsia="sans-serif" w:hAnsi="Verdana"/>
          <w:color w:val="000000" w:themeColor="text1"/>
          <w:spacing w:val="1"/>
          <w:sz w:val="20"/>
          <w:szCs w:val="20"/>
          <w:shd w:val="clear" w:color="auto" w:fill="FFFFFF"/>
        </w:rPr>
        <w:instrText xml:space="preserve"> ADDIN EN.CITE &lt;EndNote&gt;&lt;Cite&gt;&lt;Author&gt;Jhingan&lt;/Author&gt;&lt;Year&gt;2010&lt;/Year&gt;&lt;RecNum&gt;17&lt;/RecNum&gt;&lt;DisplayText&gt;(Jhingan, 2010)&lt;/DisplayText&gt;&lt;record&gt;&lt;rec-number&gt;17&lt;/rec-number&gt;&lt;foreign-keys&gt;&lt;key app="EN" db-id="pvrspszxqt55a1ev0x0xas0rzste5t0vafdf" timestamp="1699198992"&gt;17&lt;/key&gt;&lt;/foreign-keys&gt;&lt;ref-type name="Journal Article"&gt;17&lt;/ref-type&gt;&lt;contributors&gt;&lt;authors&gt;&lt;author&gt;Jhingan, T.&lt;/author&gt;&lt;/authors&gt;&lt;/contributors&gt;&lt;titles&gt;&lt;title&gt;Inflation and the Cost of Living. RBA Bulletin&lt;/title&gt;&lt;/titles&gt;&lt;pages&gt;33-46&lt;/pages&gt;&lt;dates&gt;&lt;year&gt;2010&lt;/year&gt;&lt;/dates&gt;&lt;urls&gt;&lt;/urls&gt;&lt;/record&gt;&lt;/Cite&gt;&lt;/EndNote&gt;</w:instrText>
      </w:r>
      <w:r w:rsidR="001F4572">
        <w:rPr>
          <w:rFonts w:ascii="Verdana" w:eastAsia="sans-serif" w:hAnsi="Verdana"/>
          <w:color w:val="000000" w:themeColor="text1"/>
          <w:spacing w:val="1"/>
          <w:sz w:val="20"/>
          <w:szCs w:val="20"/>
          <w:shd w:val="clear" w:color="auto" w:fill="FFFFFF"/>
        </w:rPr>
        <w:fldChar w:fldCharType="separate"/>
      </w:r>
      <w:r w:rsidR="001F4572">
        <w:rPr>
          <w:rFonts w:ascii="Verdana" w:eastAsia="sans-serif" w:hAnsi="Verdana"/>
          <w:noProof/>
          <w:color w:val="000000" w:themeColor="text1"/>
          <w:spacing w:val="1"/>
          <w:sz w:val="20"/>
          <w:szCs w:val="20"/>
          <w:shd w:val="clear" w:color="auto" w:fill="FFFFFF"/>
        </w:rPr>
        <w:t>(Jhingan, 2010)</w:t>
      </w:r>
      <w:r w:rsidR="001F4572">
        <w:rPr>
          <w:rFonts w:ascii="Verdana" w:eastAsia="sans-serif" w:hAnsi="Verdana"/>
          <w:color w:val="000000" w:themeColor="text1"/>
          <w:spacing w:val="1"/>
          <w:sz w:val="20"/>
          <w:szCs w:val="20"/>
          <w:shd w:val="clear" w:color="auto" w:fill="FFFFFF"/>
        </w:rPr>
        <w:fldChar w:fldCharType="end"/>
      </w:r>
      <w:r w:rsidR="001F4572" w:rsidRPr="001F4572">
        <w:rPr>
          <w:rFonts w:ascii="Verdana" w:eastAsia="sans-serif" w:hAnsi="Verdana"/>
          <w:color w:val="000000" w:themeColor="text1"/>
          <w:spacing w:val="1"/>
          <w:sz w:val="20"/>
          <w:szCs w:val="20"/>
          <w:shd w:val="clear" w:color="auto" w:fill="FFFFFF"/>
        </w:rPr>
        <w:t xml:space="preserve">. </w:t>
      </w:r>
      <w:r w:rsidRPr="001F4572">
        <w:rPr>
          <w:rFonts w:ascii="Verdana" w:eastAsia="sans-serif" w:hAnsi="Verdana"/>
          <w:color w:val="000000" w:themeColor="text1"/>
          <w:spacing w:val="1"/>
          <w:sz w:val="20"/>
          <w:szCs w:val="20"/>
          <w:shd w:val="clear" w:color="auto" w:fill="FFFFFF"/>
        </w:rPr>
        <w:t xml:space="preserve">From a conceptual standpoint, inflation denotes a scenario in which the total demand for goods and services surpasses the current production supply </w:t>
      </w:r>
      <w:r w:rsidR="001F4572">
        <w:rPr>
          <w:rFonts w:ascii="Verdana" w:eastAsia="sans-serif" w:hAnsi="Verdana"/>
          <w:color w:val="000000" w:themeColor="text1"/>
          <w:spacing w:val="1"/>
          <w:sz w:val="20"/>
          <w:szCs w:val="20"/>
          <w:shd w:val="clear" w:color="auto" w:fill="FFFFFF"/>
        </w:rPr>
        <w:fldChar w:fldCharType="begin"/>
      </w:r>
      <w:r w:rsidR="001F4572">
        <w:rPr>
          <w:rFonts w:ascii="Verdana" w:eastAsia="sans-serif" w:hAnsi="Verdana"/>
          <w:color w:val="000000" w:themeColor="text1"/>
          <w:spacing w:val="1"/>
          <w:sz w:val="20"/>
          <w:szCs w:val="20"/>
          <w:shd w:val="clear" w:color="auto" w:fill="FFFFFF"/>
        </w:rPr>
        <w:instrText xml:space="preserve"> ADDIN EN.CITE &lt;EndNote&gt;&lt;Cite&gt;&lt;Author&gt;Bernanke&lt;/Author&gt;&lt;Year&gt;1997&lt;/Year&gt;&lt;RecNum&gt;5&lt;/RecNum&gt;&lt;DisplayText&gt;(Bernanke &amp;amp; Mishkin, 1997)&lt;/DisplayText&gt;&lt;record&gt;&lt;rec-number&gt;5&lt;/rec-number&gt;&lt;foreign-keys&gt;&lt;key app="EN" db-id="pvrspszxqt55a1ev0x0xas0rzste5t0vafdf" timestamp="1699198360"&gt;5&lt;/key&gt;&lt;/foreign-keys&gt;&lt;ref-type name="Journal Article"&gt;17&lt;/ref-type&gt;&lt;contributors&gt;&lt;authors&gt;&lt;author&gt;Bernanke, Ben S&lt;/author&gt;&lt;author&gt;Mishkin, Frederic S&lt;/author&gt;&lt;/authors&gt;&lt;/contributors&gt;&lt;titles&gt;&lt;title&gt;Inflation targeting: a new framework for monetary policy?&lt;/title&gt;&lt;secondary-title&gt;Journal of Economic perspectives&lt;/secondary-title&gt;&lt;/titles&gt;&lt;periodical&gt;&lt;full-title&gt;Journal of Economic perspectives&lt;/full-title&gt;&lt;/periodical&gt;&lt;pages&gt;97-116&lt;/pages&gt;&lt;volume&gt;11&lt;/volume&gt;&lt;number&gt;2&lt;/number&gt;&lt;dates&gt;&lt;year&gt;1997&lt;/year&gt;&lt;/dates&gt;&lt;isbn&gt;0895-3309&lt;/isbn&gt;&lt;urls&gt;&lt;/urls&gt;&lt;electronic-resource-num&gt;https://doi.org/10.1257/jep.11.2.97&lt;/electronic-resource-num&gt;&lt;/record&gt;&lt;/Cite&gt;&lt;/EndNote&gt;</w:instrText>
      </w:r>
      <w:r w:rsidR="001F4572">
        <w:rPr>
          <w:rFonts w:ascii="Verdana" w:eastAsia="sans-serif" w:hAnsi="Verdana"/>
          <w:color w:val="000000" w:themeColor="text1"/>
          <w:spacing w:val="1"/>
          <w:sz w:val="20"/>
          <w:szCs w:val="20"/>
          <w:shd w:val="clear" w:color="auto" w:fill="FFFFFF"/>
        </w:rPr>
        <w:fldChar w:fldCharType="separate"/>
      </w:r>
      <w:r w:rsidR="001F4572">
        <w:rPr>
          <w:rFonts w:ascii="Verdana" w:eastAsia="sans-serif" w:hAnsi="Verdana"/>
          <w:noProof/>
          <w:color w:val="000000" w:themeColor="text1"/>
          <w:spacing w:val="1"/>
          <w:sz w:val="20"/>
          <w:szCs w:val="20"/>
          <w:shd w:val="clear" w:color="auto" w:fill="FFFFFF"/>
        </w:rPr>
        <w:t>(Bernanke &amp; Mishkin, 1997)</w:t>
      </w:r>
      <w:r w:rsidR="001F4572">
        <w:rPr>
          <w:rFonts w:ascii="Verdana" w:eastAsia="sans-serif" w:hAnsi="Verdana"/>
          <w:color w:val="000000" w:themeColor="text1"/>
          <w:spacing w:val="1"/>
          <w:sz w:val="20"/>
          <w:szCs w:val="20"/>
          <w:shd w:val="clear" w:color="auto" w:fill="FFFFFF"/>
        </w:rPr>
        <w:fldChar w:fldCharType="end"/>
      </w:r>
      <w:r w:rsidR="001F4572" w:rsidRPr="001F4572">
        <w:rPr>
          <w:rFonts w:ascii="Verdana" w:eastAsia="sans-serif" w:hAnsi="Verdana"/>
          <w:color w:val="000000" w:themeColor="text1"/>
          <w:spacing w:val="1"/>
          <w:sz w:val="20"/>
          <w:szCs w:val="20"/>
          <w:shd w:val="clear" w:color="auto" w:fill="FFFFFF"/>
        </w:rPr>
        <w:t xml:space="preserve">. </w:t>
      </w:r>
      <w:r w:rsidRPr="001F4572">
        <w:rPr>
          <w:rFonts w:ascii="Verdana" w:eastAsia="sans-serif" w:hAnsi="Verdana"/>
          <w:color w:val="000000" w:themeColor="text1"/>
          <w:spacing w:val="1"/>
          <w:sz w:val="20"/>
          <w:szCs w:val="20"/>
          <w:shd w:val="clear" w:color="auto" w:fill="FFFFFF"/>
        </w:rPr>
        <w:t>It has varying effects on persons in different social strata. This phenomenon often benefits those with flexible incomes while harming those with stable incomes. The majority of those in the fixed income group are paid workers, including white collar workers, clerks, teachers, and daily wagerers. The majority of South Asia and</w:t>
      </w:r>
      <w:r w:rsidR="00DE5495" w:rsidRPr="001F4572">
        <w:rPr>
          <w:rFonts w:ascii="Verdana" w:eastAsia="sans-serif" w:hAnsi="Verdana"/>
          <w:color w:val="000000" w:themeColor="text1"/>
          <w:spacing w:val="1"/>
          <w:sz w:val="20"/>
          <w:szCs w:val="20"/>
          <w:shd w:val="clear" w:color="auto" w:fill="FFFFFF"/>
        </w:rPr>
        <w:t xml:space="preserve"> </w:t>
      </w:r>
      <w:r w:rsidRPr="001F4572">
        <w:rPr>
          <w:rFonts w:ascii="Verdana" w:eastAsia="sans-serif" w:hAnsi="Verdana"/>
          <w:color w:val="000000" w:themeColor="text1"/>
          <w:spacing w:val="1"/>
          <w:sz w:val="20"/>
          <w:szCs w:val="20"/>
          <w:shd w:val="clear" w:color="auto" w:fill="FFFFFF"/>
        </w:rPr>
        <w:lastRenderedPageBreak/>
        <w:t>Pakistan are impacted by the issue. Inflation frequently results in slower job growth and a higher unemployment rate. This is because fewer employments will be generated as a result of businesses maybe being unable to keep up with the rising cost of products and services. In addition, workers could discover that their pay isn't keeping up with inflationary pressures, which would make it more difficult for them to obtain jobs</w:t>
      </w:r>
      <w:r w:rsidRPr="001F4572">
        <w:rPr>
          <w:rFonts w:ascii="Verdana" w:hAnsi="Verdana"/>
          <w:color w:val="000000" w:themeColor="text1"/>
          <w:sz w:val="20"/>
          <w:szCs w:val="20"/>
        </w:rPr>
        <w:t>.</w:t>
      </w:r>
    </w:p>
    <w:p w14:paraId="356E80D8" w14:textId="77777777" w:rsidR="00DE5495" w:rsidRPr="001F4572" w:rsidRDefault="00DE5495" w:rsidP="00002CEC">
      <w:pPr>
        <w:ind w:left="0" w:firstLine="0"/>
        <w:rPr>
          <w:rFonts w:ascii="Verdana" w:eastAsia="sans-serif" w:hAnsi="Verdana"/>
          <w:b/>
          <w:color w:val="000000" w:themeColor="text1"/>
          <w:spacing w:val="1"/>
          <w:sz w:val="20"/>
          <w:szCs w:val="20"/>
          <w:shd w:val="clear" w:color="auto" w:fill="FFFFFF"/>
        </w:rPr>
      </w:pPr>
    </w:p>
    <w:p w14:paraId="7F996993" w14:textId="39D33F68" w:rsidR="00002CEC" w:rsidRPr="001F4572" w:rsidRDefault="00002CEC" w:rsidP="00DE5495">
      <w:pPr>
        <w:pStyle w:val="ListParagraph"/>
        <w:numPr>
          <w:ilvl w:val="1"/>
          <w:numId w:val="48"/>
        </w:numPr>
        <w:rPr>
          <w:rFonts w:ascii="Verdana" w:eastAsia="sans-serif" w:hAnsi="Verdana"/>
          <w:b/>
          <w:color w:val="000000" w:themeColor="text1"/>
          <w:spacing w:val="1"/>
          <w:sz w:val="20"/>
          <w:szCs w:val="20"/>
          <w:shd w:val="clear" w:color="auto" w:fill="FFFFFF"/>
        </w:rPr>
      </w:pPr>
      <w:r w:rsidRPr="001F4572">
        <w:rPr>
          <w:rFonts w:ascii="Verdana" w:eastAsia="sans-serif" w:hAnsi="Verdana"/>
          <w:b/>
          <w:color w:val="000000" w:themeColor="text1"/>
          <w:spacing w:val="1"/>
          <w:sz w:val="20"/>
          <w:szCs w:val="20"/>
          <w:shd w:val="clear" w:color="auto" w:fill="FFFFFF"/>
        </w:rPr>
        <w:t xml:space="preserve">Objectives of the </w:t>
      </w:r>
      <w:r w:rsidR="00DE5495" w:rsidRPr="001F4572">
        <w:rPr>
          <w:rFonts w:ascii="Verdana" w:eastAsia="sans-serif" w:hAnsi="Verdana"/>
          <w:b/>
          <w:color w:val="000000" w:themeColor="text1"/>
          <w:spacing w:val="1"/>
          <w:sz w:val="20"/>
          <w:szCs w:val="20"/>
          <w:shd w:val="clear" w:color="auto" w:fill="FFFFFF"/>
        </w:rPr>
        <w:t>S</w:t>
      </w:r>
      <w:r w:rsidRPr="001F4572">
        <w:rPr>
          <w:rFonts w:ascii="Verdana" w:eastAsia="sans-serif" w:hAnsi="Verdana"/>
          <w:b/>
          <w:color w:val="000000" w:themeColor="text1"/>
          <w:spacing w:val="1"/>
          <w:sz w:val="20"/>
          <w:szCs w:val="20"/>
          <w:shd w:val="clear" w:color="auto" w:fill="FFFFFF"/>
        </w:rPr>
        <w:t>tudy</w:t>
      </w:r>
    </w:p>
    <w:p w14:paraId="3B7439B8" w14:textId="77777777" w:rsidR="00002CEC" w:rsidRPr="001F4572" w:rsidRDefault="00002CEC" w:rsidP="00002CEC">
      <w:pPr>
        <w:pStyle w:val="ListParagraph"/>
        <w:numPr>
          <w:ilvl w:val="0"/>
          <w:numId w:val="47"/>
        </w:numPr>
        <w:ind w:left="0" w:firstLine="0"/>
        <w:rPr>
          <w:rFonts w:ascii="Verdana" w:eastAsia="sans-serif" w:hAnsi="Verdana"/>
          <w:color w:val="000000" w:themeColor="text1"/>
          <w:spacing w:val="1"/>
          <w:sz w:val="20"/>
          <w:szCs w:val="20"/>
          <w:shd w:val="clear" w:color="auto" w:fill="FFFFFF"/>
        </w:rPr>
      </w:pPr>
      <w:r w:rsidRPr="001F4572">
        <w:rPr>
          <w:rFonts w:ascii="Verdana" w:eastAsia="sans-serif" w:hAnsi="Verdana"/>
          <w:color w:val="000000" w:themeColor="text1"/>
          <w:spacing w:val="1"/>
          <w:sz w:val="20"/>
          <w:szCs w:val="20"/>
          <w:shd w:val="clear" w:color="auto" w:fill="FFFFFF"/>
        </w:rPr>
        <w:t>To dig out the overall influence of price changes of products on daily life of workers.</w:t>
      </w:r>
    </w:p>
    <w:p w14:paraId="74D7117F" w14:textId="77777777" w:rsidR="00002CEC" w:rsidRPr="001F4572" w:rsidRDefault="00002CEC" w:rsidP="00002CEC">
      <w:pPr>
        <w:pStyle w:val="ListParagraph"/>
        <w:numPr>
          <w:ilvl w:val="0"/>
          <w:numId w:val="47"/>
        </w:numPr>
        <w:ind w:left="0" w:firstLine="0"/>
        <w:rPr>
          <w:rFonts w:ascii="Verdana" w:eastAsia="sans-serif" w:hAnsi="Verdana"/>
          <w:color w:val="000000" w:themeColor="text1"/>
          <w:spacing w:val="1"/>
          <w:sz w:val="20"/>
          <w:szCs w:val="20"/>
          <w:shd w:val="clear" w:color="auto" w:fill="FFFFFF"/>
        </w:rPr>
      </w:pPr>
      <w:r w:rsidRPr="001F4572">
        <w:rPr>
          <w:rFonts w:ascii="Verdana" w:eastAsia="sans-serif" w:hAnsi="Verdana"/>
          <w:color w:val="000000" w:themeColor="text1"/>
          <w:spacing w:val="1"/>
          <w:sz w:val="20"/>
          <w:szCs w:val="20"/>
          <w:shd w:val="clear" w:color="auto" w:fill="FFFFFF"/>
        </w:rPr>
        <w:t>To study how inflation influences worker’s real wage rate.</w:t>
      </w:r>
    </w:p>
    <w:p w14:paraId="75E94286" w14:textId="77777777" w:rsidR="00DE5495" w:rsidRPr="001F4572" w:rsidRDefault="00DE5495" w:rsidP="00002CEC">
      <w:pPr>
        <w:ind w:left="0" w:firstLine="0"/>
        <w:rPr>
          <w:rFonts w:ascii="Verdana" w:eastAsia="sans-serif" w:hAnsi="Verdana"/>
          <w:b/>
          <w:bCs/>
          <w:color w:val="000000" w:themeColor="text1"/>
          <w:spacing w:val="1"/>
          <w:sz w:val="20"/>
          <w:szCs w:val="20"/>
          <w:shd w:val="clear" w:color="auto" w:fill="FFFFFF"/>
        </w:rPr>
      </w:pPr>
    </w:p>
    <w:p w14:paraId="79C7242D" w14:textId="79C7EE29" w:rsidR="00002CEC" w:rsidRPr="001F4572" w:rsidRDefault="00002CEC" w:rsidP="00DE5495">
      <w:pPr>
        <w:pStyle w:val="ListParagraph"/>
        <w:numPr>
          <w:ilvl w:val="0"/>
          <w:numId w:val="48"/>
        </w:numPr>
        <w:ind w:left="720" w:hanging="720"/>
        <w:rPr>
          <w:rFonts w:ascii="Verdana" w:eastAsia="sans-serif" w:hAnsi="Verdana"/>
          <w:b/>
          <w:bCs/>
          <w:color w:val="000000" w:themeColor="text1"/>
          <w:spacing w:val="1"/>
          <w:sz w:val="22"/>
          <w:szCs w:val="22"/>
          <w:shd w:val="clear" w:color="auto" w:fill="FFFFFF"/>
        </w:rPr>
      </w:pPr>
      <w:r w:rsidRPr="001F4572">
        <w:rPr>
          <w:rFonts w:ascii="Verdana" w:eastAsia="sans-serif" w:hAnsi="Verdana"/>
          <w:b/>
          <w:bCs/>
          <w:color w:val="000000" w:themeColor="text1"/>
          <w:spacing w:val="1"/>
          <w:sz w:val="22"/>
          <w:szCs w:val="22"/>
          <w:shd w:val="clear" w:color="auto" w:fill="FFFFFF"/>
        </w:rPr>
        <w:t xml:space="preserve">Literature </w:t>
      </w:r>
      <w:r w:rsidR="00DE5495" w:rsidRPr="001F4572">
        <w:rPr>
          <w:rFonts w:ascii="Verdana" w:eastAsia="sans-serif" w:hAnsi="Verdana"/>
          <w:b/>
          <w:bCs/>
          <w:color w:val="000000" w:themeColor="text1"/>
          <w:spacing w:val="1"/>
          <w:sz w:val="22"/>
          <w:szCs w:val="22"/>
          <w:shd w:val="clear" w:color="auto" w:fill="FFFFFF"/>
        </w:rPr>
        <w:t>R</w:t>
      </w:r>
      <w:r w:rsidRPr="001F4572">
        <w:rPr>
          <w:rFonts w:ascii="Verdana" w:eastAsia="sans-serif" w:hAnsi="Verdana"/>
          <w:b/>
          <w:bCs/>
          <w:color w:val="000000" w:themeColor="text1"/>
          <w:spacing w:val="1"/>
          <w:sz w:val="22"/>
          <w:szCs w:val="22"/>
          <w:shd w:val="clear" w:color="auto" w:fill="FFFFFF"/>
        </w:rPr>
        <w:t>eview</w:t>
      </w:r>
    </w:p>
    <w:p w14:paraId="48D7FEDB" w14:textId="3864E39F" w:rsidR="00DE5495" w:rsidRPr="001F4572" w:rsidRDefault="00002CEC" w:rsidP="00DE5495">
      <w:pPr>
        <w:ind w:left="0" w:firstLine="720"/>
        <w:rPr>
          <w:rFonts w:ascii="Verdana" w:eastAsia="Helvetica" w:hAnsi="Verdana"/>
          <w:color w:val="000000" w:themeColor="text1"/>
          <w:sz w:val="20"/>
          <w:szCs w:val="20"/>
          <w:shd w:val="clear" w:color="auto" w:fill="FFFFFF"/>
        </w:rPr>
      </w:pPr>
      <w:r w:rsidRPr="001F4572">
        <w:rPr>
          <w:rFonts w:ascii="Verdana" w:hAnsi="Verdana"/>
          <w:color w:val="000000" w:themeColor="text1"/>
          <w:sz w:val="20"/>
          <w:szCs w:val="20"/>
        </w:rPr>
        <w:t xml:space="preserve">Over the last few decades, there have been multiple instances of elevated rates of inflation. During the Vietnam War in the late 1960s, low unemployment and robust economic development drove higher salaries and consequent price increases. The high cost of oil in the 1970s led to hopes that other costs would follow suit. Due to monetary policy actions made in the 1980s, such as sharply rising interest rates to reduce the quantity of money in the economy, those high levels of inflation were reduced. Nevertheless, combating those high rates of inflation had a negative impact on the American economy, increasing unemployment and causing two distinct recessions in the early 1980s.Inflation was modest and largely consistent from the middle of the 1980s until 2020 (with minor variations during recessions). Inflation was very low even in the years preceding the start of the COVID-19 pandemic, despite high employment rates and robust economic growth characteristics that were traditionally believed by economists to have significant effects on inflation. However, in 2022, the conflict in Ukraine, increased consumer demand, problems with the supply chain, and government expenditures all contributed to a 40-year peak in US inflation. Since annual inflation has been steadily dropping from those recent highs, recent monetary policy choices have helped to temper those growing costs </w:t>
      </w:r>
      <w:r w:rsidR="001F4572">
        <w:rPr>
          <w:rFonts w:ascii="Verdana" w:hAnsi="Verdana"/>
          <w:color w:val="000000" w:themeColor="text1"/>
          <w:sz w:val="20"/>
          <w:szCs w:val="20"/>
        </w:rPr>
        <w:fldChar w:fldCharType="begin"/>
      </w:r>
      <w:r w:rsidR="001F4572">
        <w:rPr>
          <w:rFonts w:ascii="Verdana" w:hAnsi="Verdana"/>
          <w:color w:val="000000" w:themeColor="text1"/>
          <w:sz w:val="20"/>
          <w:szCs w:val="20"/>
        </w:rPr>
        <w:instrText xml:space="preserve"> ADDIN EN.CITE &lt;EndNote&gt;&lt;Cite&gt;&lt;Author&gt;Rudd&lt;/Author&gt;&lt;Year&gt;2022&lt;/Year&gt;&lt;RecNum&gt;24&lt;/RecNum&gt;&lt;DisplayText&gt;(Rudd, 2022)&lt;/DisplayText&gt;&lt;record&gt;&lt;rec-number&gt;24&lt;/rec-number&gt;&lt;foreign-keys&gt;&lt;key app="EN" db-id="pvrspszxqt55a1ev0x0xas0rzste5t0vafdf" timestamp="1699199267"&gt;24&lt;/key&gt;&lt;/foreign-keys&gt;&lt;ref-type name="Journal Article"&gt;17&lt;/ref-type&gt;&lt;contributors&gt;&lt;authors&gt;&lt;author&gt;Rudd, Jeremy B&lt;/author&gt;&lt;/authors&gt;&lt;/contributors&gt;&lt;titles&gt;&lt;title&gt;Why do we think that inflation expectations matter for inflation?(and should we?)&lt;/title&gt;&lt;secondary-title&gt;Review of Keynesian Economics&lt;/secondary-title&gt;&lt;/titles&gt;&lt;periodical&gt;&lt;full-title&gt;Review of Keynesian Economics&lt;/full-title&gt;&lt;/periodical&gt;&lt;pages&gt;25-45&lt;/pages&gt;&lt;volume&gt;10&lt;/volume&gt;&lt;number&gt;1&lt;/number&gt;&lt;dates&gt;&lt;year&gt;2022&lt;/year&gt;&lt;/dates&gt;&lt;isbn&gt;2049-5331&lt;/isbn&gt;&lt;urls&gt;&lt;/urls&gt;&lt;electronic-resource-num&gt;https://doi.org/10.4337/roke.2022.01.02&lt;/electronic-resource-num&gt;&lt;/record&gt;&lt;/Cite&gt;&lt;/EndNote&gt;</w:instrText>
      </w:r>
      <w:r w:rsidR="001F4572">
        <w:rPr>
          <w:rFonts w:ascii="Verdana" w:hAnsi="Verdana"/>
          <w:color w:val="000000" w:themeColor="text1"/>
          <w:sz w:val="20"/>
          <w:szCs w:val="20"/>
        </w:rPr>
        <w:fldChar w:fldCharType="separate"/>
      </w:r>
      <w:r w:rsidR="001F4572">
        <w:rPr>
          <w:rFonts w:ascii="Verdana" w:hAnsi="Verdana"/>
          <w:noProof/>
          <w:color w:val="000000" w:themeColor="text1"/>
          <w:sz w:val="20"/>
          <w:szCs w:val="20"/>
        </w:rPr>
        <w:t>(Rudd, 2022)</w:t>
      </w:r>
      <w:r w:rsidR="001F4572">
        <w:rPr>
          <w:rFonts w:ascii="Verdana" w:hAnsi="Verdana"/>
          <w:color w:val="000000" w:themeColor="text1"/>
          <w:sz w:val="20"/>
          <w:szCs w:val="20"/>
        </w:rPr>
        <w:fldChar w:fldCharType="end"/>
      </w:r>
      <w:r w:rsidR="001F4572" w:rsidRPr="001F4572">
        <w:rPr>
          <w:rFonts w:ascii="Verdana" w:hAnsi="Verdana"/>
          <w:color w:val="000000" w:themeColor="text1"/>
          <w:sz w:val="20"/>
          <w:szCs w:val="20"/>
        </w:rPr>
        <w:t xml:space="preserve">. </w:t>
      </w:r>
      <w:r w:rsidRPr="001F4572">
        <w:rPr>
          <w:rFonts w:ascii="Verdana" w:eastAsia="Helvetica" w:hAnsi="Verdana"/>
          <w:color w:val="000000" w:themeColor="text1"/>
          <w:sz w:val="20"/>
          <w:szCs w:val="20"/>
          <w:shd w:val="clear" w:color="auto" w:fill="FFFFFF"/>
        </w:rPr>
        <w:t xml:space="preserve">There are a number of underlying variables that might influence price fluctuations. For example, prices may increase when the money supply rises compared to the size of an economy, either as a result of an increase in government expenditure or an excess of money printed by the central bank. Similarly, occurrences like natural catastrophes or conflicts that drive up manufacturing costs or impede the economy's ability to produce commodities can also drive up prices. Demand-pull inflation, which happens when there is too much money compared to the economy's capacity to generate goods and services, is exemplified by both of those situations </w:t>
      </w:r>
      <w:r w:rsidR="001F4572">
        <w:rPr>
          <w:rFonts w:ascii="Verdana" w:eastAsia="Helvetica" w:hAnsi="Verdana"/>
          <w:color w:val="000000" w:themeColor="text1"/>
          <w:sz w:val="20"/>
          <w:szCs w:val="20"/>
          <w:shd w:val="clear" w:color="auto" w:fill="FFFFFF"/>
        </w:rPr>
        <w:fldChar w:fldCharType="begin"/>
      </w:r>
      <w:r w:rsidR="001F4572">
        <w:rPr>
          <w:rFonts w:ascii="Verdana" w:eastAsia="Helvetica" w:hAnsi="Verdana"/>
          <w:color w:val="000000" w:themeColor="text1"/>
          <w:sz w:val="20"/>
          <w:szCs w:val="20"/>
          <w:shd w:val="clear" w:color="auto" w:fill="FFFFFF"/>
        </w:rPr>
        <w:instrText xml:space="preserve"> ADDIN EN.CITE &lt;EndNote&gt;&lt;Cite&gt;&lt;Author&gt;Edwards&lt;/Author&gt;&lt;Year&gt;2023&lt;/Year&gt;&lt;RecNum&gt;10&lt;/RecNum&gt;&lt;DisplayText&gt;(Edwards et al., 2023)&lt;/DisplayText&gt;&lt;record&gt;&lt;rec-number&gt;10&lt;/rec-number&gt;&lt;foreign-keys&gt;&lt;key app="EN" db-id="pvrspszxqt55a1ev0x0xas0rzste5t0vafdf" timestamp="1699198605"&gt;10&lt;/key&gt;&lt;/foreign-keys&gt;&lt;ref-type name="Journal Article"&gt;17&lt;/ref-type&gt;&lt;contributors&gt;&lt;authors&gt;&lt;author&gt;Edwards, Paul&lt;/author&gt;&lt;author&gt;Baden-Fuller, Charles&lt;/author&gt;&lt;author&gt;Pissarides, Christopher&lt;/author&gt;&lt;author&gt;Rubery, Jill&lt;/author&gt;&lt;author&gt;Crouch, Colin&lt;/author&gt;&lt;author&gt;Taylor-Gooby, Peter&lt;/author&gt;&lt;/authors&gt;&lt;/contributors&gt;&lt;titles&gt;&lt;title&gt;Inflation, wages and equality: cross-disciplinary conversations&lt;/title&gt;&lt;secondary-title&gt;Journal of the British Academy&lt;/secondary-title&gt;&lt;/titles&gt;&lt;periodical&gt;&lt;full-title&gt;Journal of the British Academy&lt;/full-title&gt;&lt;/periodical&gt;&lt;pages&gt;25-41&lt;/pages&gt;&lt;volume&gt;11&lt;/volume&gt;&lt;dates&gt;&lt;year&gt;2023&lt;/year&gt;&lt;/dates&gt;&lt;isbn&gt;2052-7217&lt;/isbn&gt;&lt;urls&gt;&lt;/urls&gt;&lt;/record&gt;&lt;/Cite&gt;&lt;/EndNote&gt;</w:instrText>
      </w:r>
      <w:r w:rsidR="001F4572">
        <w:rPr>
          <w:rFonts w:ascii="Verdana" w:eastAsia="Helvetica" w:hAnsi="Verdana"/>
          <w:color w:val="000000" w:themeColor="text1"/>
          <w:sz w:val="20"/>
          <w:szCs w:val="20"/>
          <w:shd w:val="clear" w:color="auto" w:fill="FFFFFF"/>
        </w:rPr>
        <w:fldChar w:fldCharType="separate"/>
      </w:r>
      <w:r w:rsidR="001F4572">
        <w:rPr>
          <w:rFonts w:ascii="Verdana" w:eastAsia="Helvetica" w:hAnsi="Verdana"/>
          <w:noProof/>
          <w:color w:val="000000" w:themeColor="text1"/>
          <w:sz w:val="20"/>
          <w:szCs w:val="20"/>
          <w:shd w:val="clear" w:color="auto" w:fill="FFFFFF"/>
        </w:rPr>
        <w:t>(Edwards et al., 2023)</w:t>
      </w:r>
      <w:r w:rsidR="001F4572">
        <w:rPr>
          <w:rFonts w:ascii="Verdana" w:eastAsia="Helvetica" w:hAnsi="Verdana"/>
          <w:color w:val="000000" w:themeColor="text1"/>
          <w:sz w:val="20"/>
          <w:szCs w:val="20"/>
          <w:shd w:val="clear" w:color="auto" w:fill="FFFFFF"/>
        </w:rPr>
        <w:fldChar w:fldCharType="end"/>
      </w:r>
      <w:r w:rsidR="001F4572" w:rsidRPr="001F4572">
        <w:rPr>
          <w:rFonts w:ascii="Verdana" w:eastAsia="Helvetica" w:hAnsi="Verdana"/>
          <w:color w:val="000000" w:themeColor="text1"/>
          <w:sz w:val="20"/>
          <w:szCs w:val="20"/>
          <w:shd w:val="clear" w:color="auto" w:fill="FFFFFF"/>
        </w:rPr>
        <w:t xml:space="preserve">. </w:t>
      </w:r>
    </w:p>
    <w:p w14:paraId="6D9057F2" w14:textId="77777777" w:rsidR="00DE5495" w:rsidRPr="001F4572" w:rsidRDefault="00DE5495" w:rsidP="00DE5495">
      <w:pPr>
        <w:ind w:left="0" w:firstLine="720"/>
        <w:rPr>
          <w:rFonts w:ascii="Verdana" w:eastAsia="Helvetica" w:hAnsi="Verdana"/>
          <w:color w:val="000000" w:themeColor="text1"/>
          <w:sz w:val="20"/>
          <w:szCs w:val="20"/>
          <w:shd w:val="clear" w:color="auto" w:fill="FFFFFF"/>
        </w:rPr>
      </w:pPr>
    </w:p>
    <w:p w14:paraId="3B7AEFDC" w14:textId="7FB7D8DF" w:rsidR="00DE5495" w:rsidRPr="001F4572" w:rsidRDefault="00002CEC" w:rsidP="00DE5495">
      <w:pPr>
        <w:ind w:left="0" w:firstLine="720"/>
        <w:rPr>
          <w:rFonts w:ascii="Verdana" w:hAnsi="Verdana"/>
          <w:color w:val="000000" w:themeColor="text1"/>
          <w:sz w:val="20"/>
          <w:szCs w:val="20"/>
        </w:rPr>
      </w:pPr>
      <w:r w:rsidRPr="001F4572">
        <w:rPr>
          <w:rFonts w:ascii="Verdana" w:eastAsia="Helvetica" w:hAnsi="Verdana"/>
          <w:color w:val="000000" w:themeColor="text1"/>
          <w:sz w:val="20"/>
          <w:szCs w:val="20"/>
          <w:shd w:val="clear" w:color="auto" w:fill="FFFFFF"/>
        </w:rPr>
        <w:t xml:space="preserve">Cost-push inflation is another type of inflation that can happen when the cost of input products and services increases. Inflation results from a rise in the price of the end goods and services that employ the input when the cost of such things rises. An oil shock is an example of cost-push inflation; it can reduce the supply of oil, which raises the price of oil and goods that use oil as a component across the economy. The pace at which investors, firms, and consumers anticipate price increases also influences inflation since these expectations may be included into contractual price adjustments for subsequent years and salary negotiations. Businesses could wish to raise the price of their goods by 2 percent, and workers would want to request salary increases of a comparable magnitude, if prices are predicted to climb by 2 percent yearly. Deflationary pressure, or downward pressure on prices, can also come from the opposite of the previously mentioned reasons. Prices can drop as a result of lower input costs, lower inflation forecasts, and a loss in demand for products and services, particularly during a recession. How long inflation lasts can also be influenced by its many factors. For instance, a spike in government expenditure or an oil shock could only cause brief episodes of inflation. However, prolonged periods of high inflation and perhaps uncontrollable "spirals," in which price rises fuel more price increases, might result from increasing government expenditure or excessive money creation  </w:t>
      </w:r>
      <w:r w:rsidR="001F4572">
        <w:rPr>
          <w:rFonts w:ascii="Verdana" w:eastAsia="Helvetica" w:hAnsi="Verdana"/>
          <w:color w:val="000000" w:themeColor="text1"/>
          <w:sz w:val="20"/>
          <w:szCs w:val="20"/>
          <w:shd w:val="clear" w:color="auto" w:fill="FFFFFF"/>
        </w:rPr>
        <w:fldChar w:fldCharType="begin"/>
      </w:r>
      <w:r w:rsidR="001F4572">
        <w:rPr>
          <w:rFonts w:ascii="Verdana" w:eastAsia="Helvetica" w:hAnsi="Verdana"/>
          <w:color w:val="000000" w:themeColor="text1"/>
          <w:sz w:val="20"/>
          <w:szCs w:val="20"/>
          <w:shd w:val="clear" w:color="auto" w:fill="FFFFFF"/>
        </w:rPr>
        <w:instrText xml:space="preserve"> ADDIN EN.CITE &lt;EndNote&gt;&lt;Cite&gt;&lt;Author&gt;Farid&lt;/Author&gt;&lt;Year&gt;2012&lt;/Year&gt;&lt;RecNum&gt;12&lt;/RecNum&gt;&lt;DisplayText&gt;(Farid, Khan, Warriach, &amp;amp; Warriach, 2012)&lt;/DisplayText&gt;&lt;record&gt;&lt;rec-number&gt;12&lt;/rec-number&gt;&lt;foreign-keys&gt;&lt;key app="EN" db-id="pvrspszxqt55a1ev0x0xas0rzste5t0vafdf" timestamp="1699198772"&gt;12&lt;/key&gt;&lt;/foreign-keys&gt;&lt;ref-type name="Journal Article"&gt;17&lt;/ref-type&gt;&lt;contributors&gt;&lt;authors&gt;&lt;author&gt;Farid, Shahzad&lt;/author&gt;&lt;author&gt;Khan, Waqas Ali&lt;/author&gt;&lt;author&gt;Warriach, Imtiaz Ahmed&lt;/author&gt;&lt;author&gt;Warriach, A&lt;/author&gt;&lt;/authors&gt;&lt;/contributors&gt;&lt;titles&gt;&lt;title&gt;Effects of Inflation on Standard of Living (A case study of Multan, Pakistan)&lt;/title&gt;&lt;secondary-title&gt;Universal journal of management and social sciences&lt;/secondary-title&gt;&lt;/titles&gt;&lt;periodical&gt;&lt;full-title&gt;Universal journal of management and social sciences&lt;/full-title&gt;&lt;/periodical&gt;&lt;pages&gt;1-06&lt;/pages&gt;&lt;volume&gt;2&lt;/volume&gt;&lt;number&gt;12&lt;/number&gt;&lt;dates&gt;&lt;year&gt;2012&lt;/year&gt;&lt;/dates&gt;&lt;urls&gt;&lt;/urls&gt;&lt;/record&gt;&lt;/Cite&gt;&lt;/EndNote&gt;</w:instrText>
      </w:r>
      <w:r w:rsidR="001F4572">
        <w:rPr>
          <w:rFonts w:ascii="Verdana" w:eastAsia="Helvetica" w:hAnsi="Verdana"/>
          <w:color w:val="000000" w:themeColor="text1"/>
          <w:sz w:val="20"/>
          <w:szCs w:val="20"/>
          <w:shd w:val="clear" w:color="auto" w:fill="FFFFFF"/>
        </w:rPr>
        <w:fldChar w:fldCharType="separate"/>
      </w:r>
      <w:r w:rsidR="001F4572">
        <w:rPr>
          <w:rFonts w:ascii="Verdana" w:eastAsia="Helvetica" w:hAnsi="Verdana"/>
          <w:noProof/>
          <w:color w:val="000000" w:themeColor="text1"/>
          <w:sz w:val="20"/>
          <w:szCs w:val="20"/>
          <w:shd w:val="clear" w:color="auto" w:fill="FFFFFF"/>
        </w:rPr>
        <w:t>(Farid, Khan, Warriach, &amp; Warriach, 2012)</w:t>
      </w:r>
      <w:r w:rsidR="001F4572">
        <w:rPr>
          <w:rFonts w:ascii="Verdana" w:eastAsia="Helvetica" w:hAnsi="Verdana"/>
          <w:color w:val="000000" w:themeColor="text1"/>
          <w:sz w:val="20"/>
          <w:szCs w:val="20"/>
          <w:shd w:val="clear" w:color="auto" w:fill="FFFFFF"/>
        </w:rPr>
        <w:fldChar w:fldCharType="end"/>
      </w:r>
      <w:r w:rsidR="001F4572" w:rsidRPr="001F4572">
        <w:rPr>
          <w:rFonts w:ascii="Verdana" w:eastAsia="Helvetica" w:hAnsi="Verdana"/>
          <w:color w:val="000000" w:themeColor="text1"/>
          <w:sz w:val="20"/>
          <w:szCs w:val="20"/>
          <w:shd w:val="clear" w:color="auto" w:fill="FFFFFF"/>
        </w:rPr>
        <w:t xml:space="preserve">. </w:t>
      </w:r>
    </w:p>
    <w:p w14:paraId="0ED35E42" w14:textId="77777777" w:rsidR="00DE5495" w:rsidRPr="001F4572" w:rsidRDefault="00DE5495" w:rsidP="00DE5495">
      <w:pPr>
        <w:ind w:left="0" w:firstLine="720"/>
        <w:rPr>
          <w:rFonts w:ascii="Verdana" w:hAnsi="Verdana"/>
          <w:color w:val="000000" w:themeColor="text1"/>
          <w:sz w:val="20"/>
          <w:szCs w:val="20"/>
        </w:rPr>
      </w:pPr>
    </w:p>
    <w:p w14:paraId="7996F5A2" w14:textId="70EF615A" w:rsidR="00DE5495" w:rsidRPr="001F4572" w:rsidRDefault="00002CEC" w:rsidP="00DE5495">
      <w:pPr>
        <w:ind w:left="0" w:firstLine="720"/>
        <w:rPr>
          <w:rFonts w:ascii="Verdana" w:eastAsia="ff1" w:hAnsi="Verdana"/>
          <w:color w:val="000000" w:themeColor="text1"/>
          <w:sz w:val="20"/>
          <w:szCs w:val="20"/>
          <w:shd w:val="clear" w:color="auto" w:fill="FFFFFF"/>
          <w:lang w:eastAsia="zh-CN"/>
        </w:rPr>
      </w:pPr>
      <w:r w:rsidRPr="001F4572">
        <w:rPr>
          <w:rFonts w:ascii="Verdana" w:eastAsia="ff1" w:hAnsi="Verdana"/>
          <w:color w:val="000000" w:themeColor="text1"/>
          <w:sz w:val="20"/>
          <w:szCs w:val="20"/>
          <w:shd w:val="clear" w:color="auto" w:fill="FFFFFF"/>
          <w:lang w:eastAsia="zh-CN"/>
        </w:rPr>
        <w:t>A recent World Bank research named Pakistan as one of the twenty "most vulnerable" nations due to the mild impact of food prices on urban poverty</w:t>
      </w:r>
      <w:r w:rsidR="001F4572">
        <w:rPr>
          <w:rFonts w:ascii="Verdana" w:eastAsia="ff1" w:hAnsi="Verdana"/>
          <w:color w:val="000000" w:themeColor="text1"/>
          <w:sz w:val="20"/>
          <w:szCs w:val="20"/>
          <w:shd w:val="clear" w:color="auto" w:fill="FFFFFF"/>
          <w:lang w:eastAsia="zh-CN"/>
        </w:rPr>
        <w:fldChar w:fldCharType="begin"/>
      </w:r>
      <w:r w:rsidR="001F4572">
        <w:rPr>
          <w:rFonts w:ascii="Verdana" w:eastAsia="ff1" w:hAnsi="Verdana"/>
          <w:color w:val="000000" w:themeColor="text1"/>
          <w:sz w:val="20"/>
          <w:szCs w:val="20"/>
          <w:shd w:val="clear" w:color="auto" w:fill="FFFFFF"/>
          <w:lang w:eastAsia="zh-CN"/>
        </w:rPr>
        <w:instrText xml:space="preserve"> ADDIN EN.CITE &lt;EndNote&gt;&lt;Cite&gt;&lt;Author&gt;Edmunds&lt;/Author&gt;&lt;Year&gt;1979&lt;/Year&gt;&lt;RecNum&gt;9&lt;/RecNum&gt;&lt;DisplayText&gt;(Edmunds, 1979)&lt;/DisplayText&gt;&lt;record&gt;&lt;rec-number&gt;9&lt;/rec-number&gt;&lt;foreign-keys&gt;&lt;key app="EN" db-id="pvrspszxqt55a1ev0x0xas0rzste5t0vafdf" timestamp="1699198566"&gt;9&lt;/key&gt;&lt;/foreign-keys&gt;&lt;ref-type name="Journal Article"&gt;17&lt;/ref-type&gt;&lt;contributors&gt;&lt;authors&gt;&lt;author&gt;Edmunds, Stahrl W&lt;/author&gt;&lt;/authors&gt;&lt;/contributors&gt;&lt;titles&gt;&lt;title&gt;Who Pays the Costs of Inflation?&lt;/title&gt;&lt;secondary-title&gt;Policy Studies Journal&lt;/secondary-title&gt;&lt;/titles&gt;&lt;periodical&gt;&lt;full-title&gt;Policy Studies Journal&lt;/full-title&gt;&lt;/periodical&gt;&lt;pages&gt;568-577&lt;/pages&gt;&lt;volume&gt;7&lt;/volume&gt;&lt;number&gt;3&lt;/number&gt;&lt;dates&gt;&lt;year&gt;1979&lt;/year&gt;&lt;/dates&gt;&lt;isbn&gt;0190-292X&lt;/isbn&gt;&lt;urls&gt;&lt;/urls&gt;&lt;electronic-resource-num&gt;https://doi.org/10.1111/j.1541-0072.1979.tb01351.x&lt;/electronic-resource-num&gt;&lt;/record&gt;&lt;/Cite&gt;&lt;/EndNote&gt;</w:instrText>
      </w:r>
      <w:r w:rsidR="001F4572">
        <w:rPr>
          <w:rFonts w:ascii="Verdana" w:eastAsia="ff1" w:hAnsi="Verdana"/>
          <w:color w:val="000000" w:themeColor="text1"/>
          <w:sz w:val="20"/>
          <w:szCs w:val="20"/>
          <w:shd w:val="clear" w:color="auto" w:fill="FFFFFF"/>
          <w:lang w:eastAsia="zh-CN"/>
        </w:rPr>
        <w:fldChar w:fldCharType="separate"/>
      </w:r>
      <w:r w:rsidR="001F4572">
        <w:rPr>
          <w:rFonts w:ascii="Verdana" w:eastAsia="ff1" w:hAnsi="Verdana"/>
          <w:noProof/>
          <w:color w:val="000000" w:themeColor="text1"/>
          <w:sz w:val="20"/>
          <w:szCs w:val="20"/>
          <w:shd w:val="clear" w:color="auto" w:fill="FFFFFF"/>
          <w:lang w:eastAsia="zh-CN"/>
        </w:rPr>
        <w:t>(Edmunds, 1979)</w:t>
      </w:r>
      <w:r w:rsidR="001F4572">
        <w:rPr>
          <w:rFonts w:ascii="Verdana" w:eastAsia="ff1" w:hAnsi="Verdana"/>
          <w:color w:val="000000" w:themeColor="text1"/>
          <w:sz w:val="20"/>
          <w:szCs w:val="20"/>
          <w:shd w:val="clear" w:color="auto" w:fill="FFFFFF"/>
          <w:lang w:eastAsia="zh-CN"/>
        </w:rPr>
        <w:fldChar w:fldCharType="end"/>
      </w:r>
      <w:r w:rsidR="001F4572" w:rsidRPr="001F4572">
        <w:rPr>
          <w:rFonts w:ascii="Verdana" w:eastAsia="ff1" w:hAnsi="Verdana"/>
          <w:color w:val="000000" w:themeColor="text1"/>
          <w:sz w:val="20"/>
          <w:szCs w:val="20"/>
          <w:shd w:val="clear" w:color="auto" w:fill="FFFFFF"/>
          <w:lang w:eastAsia="zh-CN"/>
        </w:rPr>
        <w:t>.</w:t>
      </w:r>
      <w:r w:rsidRPr="001F4572">
        <w:rPr>
          <w:rFonts w:ascii="Verdana" w:eastAsia="ff1" w:hAnsi="Verdana"/>
          <w:color w:val="000000" w:themeColor="text1"/>
          <w:sz w:val="20"/>
          <w:szCs w:val="20"/>
          <w:shd w:val="clear" w:color="auto" w:fill="FFFFFF"/>
          <w:lang w:eastAsia="zh-CN"/>
        </w:rPr>
        <w:t xml:space="preserve"> Food inflation was 7.4% in 2013, according to the Economic Survey (2012-13), and 9.3% from July 2013 to April 2014. As a result, it also demonstrated an increasing tendency following two occurrences in 2007 and 2010. Previously, the overall rise in inflation had been attributed in part to the second period of high inflation in 2010. As a result, half of Pakistan's population is classified as having "food insecurity," according to the World Food Program </w:t>
      </w:r>
      <w:r w:rsidR="001F4572">
        <w:rPr>
          <w:rFonts w:ascii="Verdana" w:eastAsia="ff1" w:hAnsi="Verdana"/>
          <w:color w:val="000000" w:themeColor="text1"/>
          <w:sz w:val="20"/>
          <w:szCs w:val="20"/>
          <w:shd w:val="clear" w:color="auto" w:fill="FFFFFF"/>
          <w:lang w:eastAsia="zh-CN"/>
        </w:rPr>
        <w:fldChar w:fldCharType="begin"/>
      </w:r>
      <w:r w:rsidR="001F4572">
        <w:rPr>
          <w:rFonts w:ascii="Verdana" w:eastAsia="ff1" w:hAnsi="Verdana"/>
          <w:color w:val="000000" w:themeColor="text1"/>
          <w:sz w:val="20"/>
          <w:szCs w:val="20"/>
          <w:shd w:val="clear" w:color="auto" w:fill="FFFFFF"/>
          <w:lang w:eastAsia="zh-CN"/>
        </w:rPr>
        <w:instrText xml:space="preserve"> ADDIN EN.CITE &lt;EndNote&gt;&lt;Cite&gt;&lt;Author&gt;ELLAHI&lt;/Author&gt;&lt;Year&gt;2018&lt;/Year&gt;&lt;RecNum&gt;7&lt;/RecNum&gt;&lt;DisplayText&gt;(ELLAHI, KIANI, MEHMOOD, &amp;amp; MAROOF, 2018)&lt;/DisplayText&gt;&lt;record&gt;&lt;rec-number&gt;7&lt;/rec-number&gt;&lt;foreign-keys&gt;&lt;key app="EN" db-id="pvrspszxqt55a1ev0x0xas0rzste5t0vafdf" timestamp="1699198469"&gt;7&lt;/key&gt;&lt;/foreign-keys&gt;&lt;ref-type name="Journal Article"&gt;17&lt;/ref-type&gt;&lt;contributors&gt;&lt;authors&gt;&lt;author&gt;ELLAHI, NAZIMA&lt;/author&gt;&lt;author&gt;KIANI, ADIQA&lt;/author&gt;&lt;author&gt;MEHMOOD, ZAHID&lt;/author&gt;&lt;author&gt;MAROOF, ZAIB&lt;/author&gt;&lt;/authors&gt;&lt;/contributors&gt;&lt;titles&gt;&lt;title&gt;Food inflation and poverty nexus: An empirical ascertainment&lt;/title&gt;&lt;secondary-title&gt;Research Journal Social Sciences&lt;/secondary-title&gt;&lt;/titles&gt;&lt;periodical&gt;&lt;full-title&gt;Research Journal Social Sciences&lt;/full-title&gt;&lt;/periodical&gt;&lt;volume&gt;7&lt;/volume&gt;&lt;number&gt;1&lt;/number&gt;&lt;dates&gt;&lt;year&gt;2018&lt;/year&gt;&lt;/dates&gt;&lt;isbn&gt;2522-3895&lt;/isbn&gt;&lt;urls&gt;&lt;/urls&gt;&lt;/record&gt;&lt;/Cite&gt;&lt;/EndNote&gt;</w:instrText>
      </w:r>
      <w:r w:rsidR="001F4572">
        <w:rPr>
          <w:rFonts w:ascii="Verdana" w:eastAsia="ff1" w:hAnsi="Verdana"/>
          <w:color w:val="000000" w:themeColor="text1"/>
          <w:sz w:val="20"/>
          <w:szCs w:val="20"/>
          <w:shd w:val="clear" w:color="auto" w:fill="FFFFFF"/>
          <w:lang w:eastAsia="zh-CN"/>
        </w:rPr>
        <w:fldChar w:fldCharType="separate"/>
      </w:r>
      <w:r w:rsidR="001F4572">
        <w:rPr>
          <w:rFonts w:ascii="Verdana" w:eastAsia="ff1" w:hAnsi="Verdana"/>
          <w:noProof/>
          <w:color w:val="000000" w:themeColor="text1"/>
          <w:sz w:val="20"/>
          <w:szCs w:val="20"/>
          <w:shd w:val="clear" w:color="auto" w:fill="FFFFFF"/>
          <w:lang w:eastAsia="zh-CN"/>
        </w:rPr>
        <w:t>(ELLAHI, KIANI, MEHMOOD, &amp; MAROOF, 2018)</w:t>
      </w:r>
      <w:r w:rsidR="001F4572">
        <w:rPr>
          <w:rFonts w:ascii="Verdana" w:eastAsia="ff1" w:hAnsi="Verdana"/>
          <w:color w:val="000000" w:themeColor="text1"/>
          <w:sz w:val="20"/>
          <w:szCs w:val="20"/>
          <w:shd w:val="clear" w:color="auto" w:fill="FFFFFF"/>
          <w:lang w:eastAsia="zh-CN"/>
        </w:rPr>
        <w:fldChar w:fldCharType="end"/>
      </w:r>
      <w:r w:rsidR="001F4572" w:rsidRPr="001F4572">
        <w:rPr>
          <w:rFonts w:ascii="Verdana" w:eastAsia="ff1" w:hAnsi="Verdana"/>
          <w:color w:val="000000" w:themeColor="text1"/>
          <w:sz w:val="20"/>
          <w:szCs w:val="20"/>
          <w:shd w:val="clear" w:color="auto" w:fill="FFFFFF"/>
          <w:lang w:eastAsia="zh-CN"/>
        </w:rPr>
        <w:t xml:space="preserve">. </w:t>
      </w:r>
    </w:p>
    <w:p w14:paraId="6895780D" w14:textId="74F499D3" w:rsidR="00DE5495" w:rsidRPr="001F4572" w:rsidRDefault="00002CEC" w:rsidP="00DE5495">
      <w:pPr>
        <w:ind w:left="0" w:firstLine="720"/>
        <w:rPr>
          <w:rFonts w:ascii="Verdana" w:eastAsia="Segoe UI" w:hAnsi="Verdana"/>
          <w:color w:val="000000" w:themeColor="text1"/>
          <w:sz w:val="20"/>
          <w:szCs w:val="20"/>
          <w:shd w:val="clear" w:color="auto" w:fill="FFFFFF"/>
        </w:rPr>
      </w:pPr>
      <w:r w:rsidRPr="001F4572">
        <w:rPr>
          <w:rFonts w:ascii="Verdana" w:eastAsia="ff1" w:hAnsi="Verdana"/>
          <w:color w:val="000000" w:themeColor="text1"/>
          <w:sz w:val="20"/>
          <w:szCs w:val="20"/>
          <w:shd w:val="clear" w:color="auto" w:fill="FFFFFF"/>
          <w:lang w:eastAsia="zh-CN"/>
        </w:rPr>
        <w:lastRenderedPageBreak/>
        <w:t>Furthermore, Economic Studies (2013) indicated that food inflation was 7.4% in 2013, and 9.3% between July 2013 and April 2014. Wheat, rice, corn, and other important food crops have variable pricing. Food insecurity aggravates the plight of impoverished families, particularly in low-income countries (LDCs). Food prices are under tremendous pressure due to the mismatch (produced by the neglected agriculture sector) between growing domestic demand and diminishing supplies (induced by high prices). This was also proven in Pakistan in 2009, when food inflation has been reasonably constant at around 15% compared to 8% in 2009 (Pakistan Economic Survey, 2010-11). According to a 2008 World Bank analysis, the drop in food costs persisted until the mid-1970s, but it appears to have vanished now that food prices have risen about 200 percent since mid-2008. Food inflation patterns are represented in the graph below, which is based on data from the Pakistan Bureau of Statistics and shows trends through 2019.</w:t>
      </w:r>
      <w:r w:rsidR="00DE5495" w:rsidRPr="001F4572">
        <w:rPr>
          <w:rFonts w:ascii="Verdana" w:eastAsia="ff1" w:hAnsi="Verdana"/>
          <w:color w:val="000000" w:themeColor="text1"/>
          <w:sz w:val="20"/>
          <w:szCs w:val="20"/>
          <w:shd w:val="clear" w:color="auto" w:fill="FFFFFF"/>
          <w:lang w:eastAsia="zh-CN"/>
        </w:rPr>
        <w:t xml:space="preserve"> </w:t>
      </w:r>
      <w:r w:rsidRPr="001F4572">
        <w:rPr>
          <w:rFonts w:ascii="Verdana" w:eastAsia="Segoe UI" w:hAnsi="Verdana"/>
          <w:color w:val="000000" w:themeColor="text1"/>
          <w:sz w:val="20"/>
          <w:szCs w:val="20"/>
          <w:shd w:val="clear" w:color="auto" w:fill="FFFFFF"/>
        </w:rPr>
        <w:t xml:space="preserve">For the most part, inflation is bad for low-income workers. Inflation is a monetary phenomena, which means it is caused by an increase in credit and liquidity in the economy. Prices for assets and consumer goods rise, but not in a linear or constant manner, and there is typically a trend for some asset classes (e.g., stocks, property, commodities, etc.) to rise more depending on the degree of inflation. The following are some of the problems that low-income people face. Inflation frequently begins with the Federal Reserve through monetary growths, which begins with banks, who then loan or invests it through leveraged bets. Banks or investors that get funds first do not suffer inflation since it takes time for funds to flow throughout the economy. As a result, low-income people frequently wind up paying higher prices for consumer items and assets (houses, stocks, etc.) after prices have already begun to rise. They end up with the short end of the stick </w:t>
      </w:r>
      <w:r w:rsidR="001F4572">
        <w:rPr>
          <w:rFonts w:ascii="Verdana" w:eastAsia="Segoe UI" w:hAnsi="Verdana"/>
          <w:color w:val="000000" w:themeColor="text1"/>
          <w:sz w:val="20"/>
          <w:szCs w:val="20"/>
          <w:shd w:val="clear" w:color="auto" w:fill="FFFFFF"/>
        </w:rPr>
        <w:fldChar w:fldCharType="begin"/>
      </w:r>
      <w:r w:rsidR="001F4572">
        <w:rPr>
          <w:rFonts w:ascii="Verdana" w:eastAsia="Segoe UI" w:hAnsi="Verdana"/>
          <w:color w:val="000000" w:themeColor="text1"/>
          <w:sz w:val="20"/>
          <w:szCs w:val="20"/>
          <w:shd w:val="clear" w:color="auto" w:fill="FFFFFF"/>
        </w:rPr>
        <w:instrText xml:space="preserve"> ADDIN EN.CITE &lt;EndNote&gt;&lt;Cite&gt;&lt;Author&gt;Hanif&lt;/Author&gt;&lt;Year&gt;2012&lt;/Year&gt;&lt;RecNum&gt;14&lt;/RecNum&gt;&lt;DisplayText&gt;(Hanif, 2012)&lt;/DisplayText&gt;&lt;record&gt;&lt;rec-number&gt;14&lt;/rec-number&gt;&lt;foreign-keys&gt;&lt;key app="EN" db-id="pvrspszxqt55a1ev0x0xas0rzste5t0vafdf" timestamp="1699198836"&gt;14&lt;/key&gt;&lt;/foreign-keys&gt;&lt;ref-type name="Journal Article"&gt;17&lt;/ref-type&gt;&lt;contributors&gt;&lt;authors&gt;&lt;author&gt;Hanif, Muhammad Nadim&lt;/author&gt;&lt;/authors&gt;&lt;/contributors&gt;&lt;titles&gt;&lt;title&gt;A note on food inflation in Pakistan&lt;/title&gt;&lt;secondary-title&gt;Pakistan Economic and Social Review&lt;/secondary-title&gt;&lt;/titles&gt;&lt;periodical&gt;&lt;full-title&gt;Pakistan Economic and Social Review&lt;/full-title&gt;&lt;/periodical&gt;&lt;pages&gt;183-206&lt;/pages&gt;&lt;dates&gt;&lt;year&gt;2012&lt;/year&gt;&lt;/dates&gt;&lt;isbn&gt;1011-002X&lt;/isbn&gt;&lt;urls&gt;&lt;/urls&gt;&lt;/record&gt;&lt;/Cite&gt;&lt;/EndNote&gt;</w:instrText>
      </w:r>
      <w:r w:rsidR="001F4572">
        <w:rPr>
          <w:rFonts w:ascii="Verdana" w:eastAsia="Segoe UI" w:hAnsi="Verdana"/>
          <w:color w:val="000000" w:themeColor="text1"/>
          <w:sz w:val="20"/>
          <w:szCs w:val="20"/>
          <w:shd w:val="clear" w:color="auto" w:fill="FFFFFF"/>
        </w:rPr>
        <w:fldChar w:fldCharType="separate"/>
      </w:r>
      <w:r w:rsidR="001F4572">
        <w:rPr>
          <w:rFonts w:ascii="Verdana" w:eastAsia="Segoe UI" w:hAnsi="Verdana"/>
          <w:noProof/>
          <w:color w:val="000000" w:themeColor="text1"/>
          <w:sz w:val="20"/>
          <w:szCs w:val="20"/>
          <w:shd w:val="clear" w:color="auto" w:fill="FFFFFF"/>
        </w:rPr>
        <w:t>(Hanif, 2012)</w:t>
      </w:r>
      <w:r w:rsidR="001F4572">
        <w:rPr>
          <w:rFonts w:ascii="Verdana" w:eastAsia="Segoe UI" w:hAnsi="Verdana"/>
          <w:color w:val="000000" w:themeColor="text1"/>
          <w:sz w:val="20"/>
          <w:szCs w:val="20"/>
          <w:shd w:val="clear" w:color="auto" w:fill="FFFFFF"/>
        </w:rPr>
        <w:fldChar w:fldCharType="end"/>
      </w:r>
      <w:r w:rsidR="001F4572" w:rsidRPr="001F4572">
        <w:rPr>
          <w:rFonts w:ascii="Verdana" w:eastAsia="Segoe UI" w:hAnsi="Verdana"/>
          <w:color w:val="000000" w:themeColor="text1"/>
          <w:sz w:val="20"/>
          <w:szCs w:val="20"/>
          <w:shd w:val="clear" w:color="auto" w:fill="FFFFFF"/>
        </w:rPr>
        <w:t xml:space="preserve">. </w:t>
      </w:r>
    </w:p>
    <w:p w14:paraId="019FCD93" w14:textId="77777777" w:rsidR="001F4572" w:rsidRPr="001F4572" w:rsidRDefault="001F4572" w:rsidP="00DE5495">
      <w:pPr>
        <w:ind w:left="0" w:firstLine="720"/>
        <w:rPr>
          <w:rFonts w:ascii="Verdana" w:hAnsi="Verdana"/>
          <w:color w:val="000000" w:themeColor="text1"/>
          <w:sz w:val="20"/>
          <w:szCs w:val="20"/>
        </w:rPr>
      </w:pPr>
    </w:p>
    <w:p w14:paraId="16116EFC" w14:textId="1BCDABA7" w:rsidR="00002CEC" w:rsidRPr="001F4572" w:rsidRDefault="00002CEC" w:rsidP="00DE5495">
      <w:pPr>
        <w:ind w:left="0" w:firstLine="720"/>
        <w:rPr>
          <w:rFonts w:ascii="Verdana" w:eastAsia="Segoe UI" w:hAnsi="Verdana"/>
          <w:color w:val="000000" w:themeColor="text1"/>
          <w:sz w:val="20"/>
          <w:szCs w:val="20"/>
          <w:shd w:val="clear" w:color="auto" w:fill="FFFFFF"/>
        </w:rPr>
      </w:pPr>
      <w:r w:rsidRPr="001F4572">
        <w:rPr>
          <w:rFonts w:ascii="Verdana" w:eastAsia="Segoe UI" w:hAnsi="Verdana"/>
          <w:color w:val="000000" w:themeColor="text1"/>
          <w:sz w:val="20"/>
          <w:szCs w:val="20"/>
          <w:shd w:val="clear" w:color="auto" w:fill="FFFFFF"/>
        </w:rPr>
        <w:t xml:space="preserve">Inflation raises the value of real estate, equities, and other asset types. This means that wealthy people who hold these assets gain far more than those who don't or have fewer resources to acquire them. Because lower-income people often hold fewer assets, they must pay more for the identical item that someone with a higher income already owns. Lowering interest rates is a significant driver of inflation. This creates an incentive for banks to maintain low savings rates on bank accounts. On the other hand, because interest rates are so low, it encourages individuals to take up additional debt. Ultimately, this encourages lower-income persons to incur more debt and save less, placing them in a more vulnerable position in the future. Higher-income persons have the same incentives, but they are likely to have more assets (which are increasing in value due to inflation) to mitigate their vulnerability </w:t>
      </w:r>
      <w:r w:rsidR="001F4572">
        <w:rPr>
          <w:rFonts w:ascii="Verdana" w:eastAsia="Segoe UI" w:hAnsi="Verdana"/>
          <w:color w:val="000000" w:themeColor="text1"/>
          <w:sz w:val="20"/>
          <w:szCs w:val="20"/>
          <w:shd w:val="clear" w:color="auto" w:fill="FFFFFF"/>
        </w:rPr>
        <w:fldChar w:fldCharType="begin"/>
      </w:r>
      <w:r w:rsidR="001F4572">
        <w:rPr>
          <w:rFonts w:ascii="Verdana" w:eastAsia="Segoe UI" w:hAnsi="Verdana"/>
          <w:color w:val="000000" w:themeColor="text1"/>
          <w:sz w:val="20"/>
          <w:szCs w:val="20"/>
          <w:shd w:val="clear" w:color="auto" w:fill="FFFFFF"/>
        </w:rPr>
        <w:instrText xml:space="preserve"> ADDIN EN.CITE &lt;EndNote&gt;&lt;Cite&gt;&lt;Author&gt;Hasan&lt;/Author&gt;&lt;Year&gt;1995&lt;/Year&gt;&lt;RecNum&gt;15&lt;/RecNum&gt;&lt;DisplayText&gt;(Hasan, Khan, Pasha, Rasheed, &amp;amp; Husain, 1995)&lt;/DisplayText&gt;&lt;record&gt;&lt;rec-number&gt;15&lt;/rec-number&gt;&lt;foreign-keys&gt;&lt;key app="EN" db-id="pvrspszxqt55a1ev0x0xas0rzste5t0vafdf" timestamp="1699198865"&gt;15&lt;/key&gt;&lt;/foreign-keys&gt;&lt;ref-type name="Journal Article"&gt;17&lt;/ref-type&gt;&lt;contributors&gt;&lt;authors&gt;&lt;author&gt;Hasan, M Aynul&lt;/author&gt;&lt;author&gt;Khan, Ashfaque H&lt;/author&gt;&lt;author&gt;Pasha, Hafiz A&lt;/author&gt;&lt;author&gt;Rasheed, M Ajaz&lt;/author&gt;&lt;author&gt;Husain, Aasim M&lt;/author&gt;&lt;/authors&gt;&lt;/contributors&gt;&lt;titles&gt;&lt;title&gt;What explains the current high rate of inflation in Pakistan?[with Comments]&lt;/title&gt;&lt;secondary-title&gt;The Pakistan Development Review&lt;/secondary-title&gt;&lt;/titles&gt;&lt;periodical&gt;&lt;full-title&gt;The Pakistan Development Review&lt;/full-title&gt;&lt;/periodical&gt;&lt;pages&gt;927-943&lt;/pages&gt;&lt;volume&gt;34&lt;/volume&gt;&lt;number&gt;4&lt;/number&gt;&lt;dates&gt;&lt;year&gt;1995&lt;/year&gt;&lt;/dates&gt;&lt;isbn&gt;0030-9729&lt;/isbn&gt;&lt;urls&gt;&lt;/urls&gt;&lt;/record&gt;&lt;/Cite&gt;&lt;/EndNote&gt;</w:instrText>
      </w:r>
      <w:r w:rsidR="001F4572">
        <w:rPr>
          <w:rFonts w:ascii="Verdana" w:eastAsia="Segoe UI" w:hAnsi="Verdana"/>
          <w:color w:val="000000" w:themeColor="text1"/>
          <w:sz w:val="20"/>
          <w:szCs w:val="20"/>
          <w:shd w:val="clear" w:color="auto" w:fill="FFFFFF"/>
        </w:rPr>
        <w:fldChar w:fldCharType="separate"/>
      </w:r>
      <w:r w:rsidR="001F4572">
        <w:rPr>
          <w:rFonts w:ascii="Verdana" w:eastAsia="Segoe UI" w:hAnsi="Verdana"/>
          <w:noProof/>
          <w:color w:val="000000" w:themeColor="text1"/>
          <w:sz w:val="20"/>
          <w:szCs w:val="20"/>
          <w:shd w:val="clear" w:color="auto" w:fill="FFFFFF"/>
        </w:rPr>
        <w:t>(Hasan, Khan, Pasha, Rasheed, &amp; Husain, 1995)</w:t>
      </w:r>
      <w:r w:rsidR="001F4572">
        <w:rPr>
          <w:rFonts w:ascii="Verdana" w:eastAsia="Segoe UI" w:hAnsi="Verdana"/>
          <w:color w:val="000000" w:themeColor="text1"/>
          <w:sz w:val="20"/>
          <w:szCs w:val="20"/>
          <w:shd w:val="clear" w:color="auto" w:fill="FFFFFF"/>
        </w:rPr>
        <w:fldChar w:fldCharType="end"/>
      </w:r>
      <w:r w:rsidR="001F4572" w:rsidRPr="001F4572">
        <w:rPr>
          <w:rFonts w:ascii="Verdana" w:eastAsia="Segoe UI" w:hAnsi="Verdana"/>
          <w:color w:val="000000" w:themeColor="text1"/>
          <w:sz w:val="20"/>
          <w:szCs w:val="20"/>
          <w:shd w:val="clear" w:color="auto" w:fill="FFFFFF"/>
        </w:rPr>
        <w:t xml:space="preserve">. </w:t>
      </w:r>
      <w:r w:rsidRPr="001F4572">
        <w:rPr>
          <w:rFonts w:ascii="Verdana" w:eastAsia="Segoe UI" w:hAnsi="Verdana"/>
          <w:color w:val="000000" w:themeColor="text1"/>
          <w:sz w:val="20"/>
          <w:szCs w:val="20"/>
          <w:shd w:val="clear" w:color="auto" w:fill="FFFFFF"/>
        </w:rPr>
        <w:t>In free economies, both inflationary and deflationary tendencies emerge organically. Technology innovation is the primary deflationary factor, driving down prices. Population growth and other scale expansions can have both positive and negative effects; larger markets might imply cheaper unit prices, but higher overall output can stretch natural capacity. Sticky wages are the primary natural inflationary factor. It is difficult to reduce nominal salaries. Workers despise it, and you may discover that the excellent ones leave while the bad ones stay but perform less effectively or even sabotage because they are dissatisfied with the salary cutbacks. It is simpler to terminate someone than it is to reduce their salary. If salaries cannot be reduced, it is difficult to reduce prices, as wages account for 60% of corporate costs. As a result, prices will be maintained in areas where unrestricted economic forces would cut them. As a result, prices are generally trending upward. Another reason that free economies are more prone to inflation is that prices are established by sellers rather than purchasers. If prices are rising, the first sellers to increase win; if prices are falling, the last sellers to cut win. Consider a crowded elevator or train vehicle. If someone gets off, move fast to gain space around you. If you are sluggish, any gain in space will be taken advantage of by others. However, if a newcomer makes his way in, you gain space by maintaining your position, while those who move lose space. This imbalance causes prices to rise quicker in reaction to inflationary pressures than they do in response to deflationary ones, resulting in yet another net bias toward inflation. However, most inflation is caused by monetary authorities rather than sticky salaries or packed elevators. Monetary authorities favor slight inflation and strongly prefer inflation to deflation</w:t>
      </w:r>
      <w:r w:rsidR="001F4572" w:rsidRPr="001F4572">
        <w:rPr>
          <w:rFonts w:ascii="Verdana" w:eastAsia="Segoe UI" w:hAnsi="Verdana"/>
          <w:color w:val="000000" w:themeColor="text1"/>
          <w:sz w:val="20"/>
          <w:szCs w:val="20"/>
          <w:shd w:val="clear" w:color="auto" w:fill="FFFFFF"/>
        </w:rPr>
        <w:t xml:space="preserve"> </w:t>
      </w:r>
      <w:r w:rsidR="001F4572">
        <w:rPr>
          <w:rFonts w:ascii="Verdana" w:eastAsia="Segoe UI" w:hAnsi="Verdana"/>
          <w:color w:val="000000" w:themeColor="text1"/>
          <w:sz w:val="20"/>
          <w:szCs w:val="20"/>
          <w:shd w:val="clear" w:color="auto" w:fill="FFFFFF"/>
        </w:rPr>
        <w:fldChar w:fldCharType="begin"/>
      </w:r>
      <w:r w:rsidR="001F4572">
        <w:rPr>
          <w:rFonts w:ascii="Verdana" w:eastAsia="Segoe UI" w:hAnsi="Verdana"/>
          <w:color w:val="000000" w:themeColor="text1"/>
          <w:sz w:val="20"/>
          <w:szCs w:val="20"/>
          <w:shd w:val="clear" w:color="auto" w:fill="FFFFFF"/>
        </w:rPr>
        <w:instrText xml:space="preserve"> ADDIN EN.CITE &lt;EndNote&gt;&lt;Cite&gt;&lt;Author&gt;Hung&lt;/Author&gt;&lt;Year&gt;2016&lt;/Year&gt;&lt;RecNum&gt;16&lt;/RecNum&gt;&lt;DisplayText&gt;(Hung &amp;amp; Thompson, 2016)&lt;/DisplayText&gt;&lt;record&gt;&lt;rec-number&gt;16&lt;/rec-number&gt;&lt;foreign-keys&gt;&lt;key app="EN" db-id="pvrspszxqt55a1ev0x0xas0rzste5t0vafdf" timestamp="1699198892"&gt;16&lt;/key&gt;&lt;/foreign-keys&gt;&lt;ref-type name="Journal Article"&gt;17&lt;/ref-type&gt;&lt;contributors&gt;&lt;authors&gt;&lt;author&gt;Hung, Ho-fung&lt;/author&gt;&lt;author&gt;Thompson, Daniel&lt;/author&gt;&lt;/authors&gt;&lt;/contributors&gt;&lt;titles&gt;&lt;title&gt;Money supply, class power, and inflation: Monetarism reassessed&lt;/title&gt;&lt;secondary-title&gt;American sociological review&lt;/secondary-title&gt;&lt;/titles&gt;&lt;periodical&gt;&lt;full-title&gt;American sociological review&lt;/full-title&gt;&lt;/periodical&gt;&lt;pages&gt;447-466&lt;/pages&gt;&lt;volume&gt;81&lt;/volume&gt;&lt;number&gt;3&lt;/number&gt;&lt;dates&gt;&lt;year&gt;2016&lt;/year&gt;&lt;/dates&gt;&lt;isbn&gt;0003-1224&lt;/isbn&gt;&lt;urls&gt;&lt;/urls&gt;&lt;electronic-resource-num&gt;https://doi.org/10.1177/0003122416639609&lt;/electronic-resource-num&gt;&lt;/record&gt;&lt;/Cite&gt;&lt;/EndNote&gt;</w:instrText>
      </w:r>
      <w:r w:rsidR="001F4572">
        <w:rPr>
          <w:rFonts w:ascii="Verdana" w:eastAsia="Segoe UI" w:hAnsi="Verdana"/>
          <w:color w:val="000000" w:themeColor="text1"/>
          <w:sz w:val="20"/>
          <w:szCs w:val="20"/>
          <w:shd w:val="clear" w:color="auto" w:fill="FFFFFF"/>
        </w:rPr>
        <w:fldChar w:fldCharType="separate"/>
      </w:r>
      <w:r w:rsidR="001F4572">
        <w:rPr>
          <w:rFonts w:ascii="Verdana" w:eastAsia="Segoe UI" w:hAnsi="Verdana"/>
          <w:noProof/>
          <w:color w:val="000000" w:themeColor="text1"/>
          <w:sz w:val="20"/>
          <w:szCs w:val="20"/>
          <w:shd w:val="clear" w:color="auto" w:fill="FFFFFF"/>
        </w:rPr>
        <w:t>(Hung &amp; Thompson, 2016)</w:t>
      </w:r>
      <w:r w:rsidR="001F4572">
        <w:rPr>
          <w:rFonts w:ascii="Verdana" w:eastAsia="Segoe UI" w:hAnsi="Verdana"/>
          <w:color w:val="000000" w:themeColor="text1"/>
          <w:sz w:val="20"/>
          <w:szCs w:val="20"/>
          <w:shd w:val="clear" w:color="auto" w:fill="FFFFFF"/>
        </w:rPr>
        <w:fldChar w:fldCharType="end"/>
      </w:r>
      <w:r w:rsidR="001F4572" w:rsidRPr="001F4572">
        <w:rPr>
          <w:rFonts w:ascii="Verdana" w:eastAsia="Segoe UI" w:hAnsi="Verdana"/>
          <w:color w:val="000000" w:themeColor="text1"/>
          <w:sz w:val="20"/>
          <w:szCs w:val="20"/>
          <w:shd w:val="clear" w:color="auto" w:fill="FFFFFF"/>
        </w:rPr>
        <w:t xml:space="preserve">. </w:t>
      </w:r>
      <w:r w:rsidRPr="001F4572">
        <w:rPr>
          <w:rFonts w:ascii="Verdana" w:eastAsia="Segoe UI" w:hAnsi="Verdana"/>
          <w:color w:val="000000" w:themeColor="text1"/>
          <w:sz w:val="20"/>
          <w:szCs w:val="20"/>
          <w:shd w:val="clear" w:color="auto" w:fill="FFFFFF"/>
        </w:rPr>
        <w:t xml:space="preserve"> </w:t>
      </w:r>
    </w:p>
    <w:p w14:paraId="021CBFE4" w14:textId="77777777" w:rsidR="00DE5495" w:rsidRPr="001F4572" w:rsidRDefault="00DE5495" w:rsidP="00002CEC">
      <w:pPr>
        <w:ind w:left="0" w:firstLine="0"/>
        <w:rPr>
          <w:rFonts w:ascii="Verdana" w:eastAsia="Segoe UI" w:hAnsi="Verdana"/>
          <w:color w:val="000000" w:themeColor="text1"/>
          <w:sz w:val="20"/>
          <w:szCs w:val="20"/>
          <w:shd w:val="clear" w:color="auto" w:fill="FFFFFF"/>
        </w:rPr>
      </w:pPr>
    </w:p>
    <w:p w14:paraId="35DB67EE" w14:textId="0EA8F211" w:rsidR="00002CEC" w:rsidRPr="001F4572" w:rsidRDefault="00DE5495" w:rsidP="00DE5495">
      <w:pPr>
        <w:pStyle w:val="ListParagraph"/>
        <w:numPr>
          <w:ilvl w:val="0"/>
          <w:numId w:val="48"/>
        </w:numPr>
        <w:ind w:left="720" w:hanging="720"/>
        <w:rPr>
          <w:rFonts w:ascii="Verdana" w:eastAsia="sans-serif" w:hAnsi="Verdana"/>
          <w:b/>
          <w:bCs/>
          <w:color w:val="000000" w:themeColor="text1"/>
          <w:spacing w:val="1"/>
          <w:sz w:val="22"/>
          <w:szCs w:val="22"/>
          <w:shd w:val="clear" w:color="auto" w:fill="FFFFFF"/>
        </w:rPr>
      </w:pPr>
      <w:r w:rsidRPr="001F4572">
        <w:rPr>
          <w:rFonts w:ascii="Verdana" w:eastAsia="sans-serif" w:hAnsi="Verdana"/>
          <w:b/>
          <w:bCs/>
          <w:color w:val="000000" w:themeColor="text1"/>
          <w:spacing w:val="1"/>
          <w:sz w:val="22"/>
          <w:szCs w:val="22"/>
          <w:shd w:val="clear" w:color="auto" w:fill="FFFFFF"/>
        </w:rPr>
        <w:t>Research Methodology</w:t>
      </w:r>
    </w:p>
    <w:p w14:paraId="3D2ED9A5" w14:textId="3663F5C0" w:rsidR="00002CEC" w:rsidRPr="001F4572" w:rsidRDefault="00002CEC" w:rsidP="00DE5495">
      <w:pPr>
        <w:ind w:left="0" w:firstLine="720"/>
        <w:rPr>
          <w:rFonts w:ascii="Verdana" w:eastAsia="sans-serif" w:hAnsi="Verdana"/>
          <w:bCs/>
          <w:color w:val="000000" w:themeColor="text1"/>
          <w:spacing w:val="1"/>
          <w:sz w:val="20"/>
          <w:szCs w:val="20"/>
          <w:shd w:val="clear" w:color="auto" w:fill="FFFFFF"/>
        </w:rPr>
      </w:pPr>
      <w:r w:rsidRPr="001F4572">
        <w:rPr>
          <w:rFonts w:ascii="Verdana" w:eastAsia="sans-serif" w:hAnsi="Verdana"/>
          <w:bCs/>
          <w:color w:val="000000" w:themeColor="text1"/>
          <w:spacing w:val="1"/>
          <w:sz w:val="20"/>
          <w:szCs w:val="20"/>
          <w:shd w:val="clear" w:color="auto" w:fill="FFFFFF"/>
        </w:rPr>
        <w:t>The methodological steps taken in this research are presented in the figure and diagrammatically.</w:t>
      </w:r>
      <w:r w:rsidR="009148F9" w:rsidRPr="001F4572">
        <w:rPr>
          <w:noProof/>
          <w:color w:val="000000" w:themeColor="text1"/>
        </w:rPr>
        <w:t xml:space="preserve"> </w:t>
      </w:r>
    </w:p>
    <w:p w14:paraId="49607405" w14:textId="77777777" w:rsidR="00002CEC" w:rsidRPr="001F4572" w:rsidRDefault="00002CEC" w:rsidP="00002CEC">
      <w:pPr>
        <w:ind w:left="0" w:firstLine="0"/>
        <w:rPr>
          <w:rFonts w:ascii="Verdana" w:eastAsia="sans-serif" w:hAnsi="Verdana"/>
          <w:bCs/>
          <w:color w:val="000000" w:themeColor="text1"/>
          <w:spacing w:val="1"/>
          <w:sz w:val="20"/>
          <w:szCs w:val="20"/>
          <w:shd w:val="clear" w:color="auto" w:fill="FFFFFF"/>
        </w:rPr>
      </w:pPr>
    </w:p>
    <w:p w14:paraId="0FC14AE8" w14:textId="77777777" w:rsidR="009148F9" w:rsidRPr="001F4572" w:rsidRDefault="009148F9" w:rsidP="00002CEC">
      <w:pPr>
        <w:ind w:left="0" w:firstLine="0"/>
        <w:rPr>
          <w:rFonts w:ascii="Verdana" w:eastAsia="sans-serif" w:hAnsi="Verdana"/>
          <w:bCs/>
          <w:color w:val="000000" w:themeColor="text1"/>
          <w:spacing w:val="1"/>
          <w:sz w:val="20"/>
          <w:szCs w:val="20"/>
          <w:shd w:val="clear" w:color="auto" w:fill="FFFFFF"/>
        </w:rPr>
      </w:pPr>
    </w:p>
    <w:p w14:paraId="52965532" w14:textId="04F9992C" w:rsidR="009148F9" w:rsidRPr="00EC63E7" w:rsidRDefault="00EC63E7" w:rsidP="00002CEC">
      <w:pPr>
        <w:ind w:left="0" w:firstLine="0"/>
        <w:rPr>
          <w:rFonts w:ascii="Verdana" w:eastAsia="sans-serif" w:hAnsi="Verdana"/>
          <w:b/>
          <w:color w:val="000000" w:themeColor="text1"/>
          <w:spacing w:val="1"/>
          <w:sz w:val="20"/>
          <w:szCs w:val="20"/>
          <w:shd w:val="clear" w:color="auto" w:fill="FFFFFF"/>
        </w:rPr>
      </w:pPr>
      <w:r w:rsidRPr="00EC63E7">
        <w:rPr>
          <w:rFonts w:ascii="Verdana" w:eastAsia="sans-serif" w:hAnsi="Verdana"/>
          <w:b/>
          <w:color w:val="000000" w:themeColor="text1"/>
          <w:spacing w:val="1"/>
          <w:sz w:val="20"/>
          <w:szCs w:val="20"/>
          <w:shd w:val="clear" w:color="auto" w:fill="FFFFFF"/>
        </w:rPr>
        <w:lastRenderedPageBreak/>
        <w:t>Figure 1</w:t>
      </w:r>
    </w:p>
    <w:p w14:paraId="53429261" w14:textId="77777777" w:rsidR="009148F9" w:rsidRPr="001F4572" w:rsidRDefault="009148F9" w:rsidP="009148F9">
      <w:pPr>
        <w:ind w:left="0" w:firstLine="0"/>
        <w:rPr>
          <w:rFonts w:ascii="Verdana" w:eastAsia="sans-serif" w:hAnsi="Verdana"/>
          <w:bCs/>
          <w:color w:val="000000" w:themeColor="text1"/>
          <w:spacing w:val="1"/>
          <w:sz w:val="20"/>
          <w:szCs w:val="20"/>
          <w:shd w:val="clear" w:color="auto" w:fill="FFFFFF"/>
        </w:rPr>
      </w:pPr>
      <w:r w:rsidRPr="001F4572">
        <w:rPr>
          <w:rFonts w:ascii="Verdana" w:eastAsia="sans-serif" w:hAnsi="Verdana"/>
          <w:bCs/>
          <w:color w:val="000000" w:themeColor="text1"/>
          <w:spacing w:val="1"/>
          <w:sz w:val="20"/>
          <w:szCs w:val="20"/>
          <w:shd w:val="clear" w:color="auto" w:fill="FFFFFF"/>
        </w:rPr>
        <w:drawing>
          <wp:anchor distT="0" distB="0" distL="114300" distR="114300" simplePos="0" relativeHeight="251659264" behindDoc="0" locked="0" layoutInCell="1" allowOverlap="1" wp14:anchorId="12F39B80" wp14:editId="48E34902">
            <wp:simplePos x="0" y="0"/>
            <wp:positionH relativeFrom="margin">
              <wp:align>right</wp:align>
            </wp:positionH>
            <wp:positionV relativeFrom="paragraph">
              <wp:posOffset>3175</wp:posOffset>
            </wp:positionV>
            <wp:extent cx="6200775" cy="1924050"/>
            <wp:effectExtent l="0" t="0" r="9525" b="0"/>
            <wp:wrapSquare wrapText="bothSides"/>
            <wp:docPr id="763535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535074" name=""/>
                    <pic:cNvPicPr/>
                  </pic:nvPicPr>
                  <pic:blipFill>
                    <a:blip r:embed="rId17">
                      <a:extLst>
                        <a:ext uri="{28A0092B-C50C-407E-A947-70E740481C1C}">
                          <a14:useLocalDpi xmlns:a14="http://schemas.microsoft.com/office/drawing/2010/main" val="0"/>
                        </a:ext>
                      </a:extLst>
                    </a:blip>
                    <a:stretch>
                      <a:fillRect/>
                    </a:stretch>
                  </pic:blipFill>
                  <pic:spPr>
                    <a:xfrm>
                      <a:off x="0" y="0"/>
                      <a:ext cx="6200775" cy="1924050"/>
                    </a:xfrm>
                    <a:prstGeom prst="rect">
                      <a:avLst/>
                    </a:prstGeom>
                  </pic:spPr>
                </pic:pic>
              </a:graphicData>
            </a:graphic>
            <wp14:sizeRelH relativeFrom="margin">
              <wp14:pctWidth>0</wp14:pctWidth>
            </wp14:sizeRelH>
            <wp14:sizeRelV relativeFrom="margin">
              <wp14:pctHeight>0</wp14:pctHeight>
            </wp14:sizeRelV>
          </wp:anchor>
        </w:drawing>
      </w:r>
    </w:p>
    <w:p w14:paraId="580C0FE1" w14:textId="01510025" w:rsidR="00002CEC" w:rsidRPr="001F4572" w:rsidRDefault="00002CEC" w:rsidP="009148F9">
      <w:pPr>
        <w:pStyle w:val="ListParagraph"/>
        <w:numPr>
          <w:ilvl w:val="1"/>
          <w:numId w:val="48"/>
        </w:numPr>
        <w:rPr>
          <w:rFonts w:ascii="Verdana" w:eastAsia="sans-serif" w:hAnsi="Verdana"/>
          <w:b/>
          <w:bCs/>
          <w:color w:val="000000" w:themeColor="text1"/>
          <w:spacing w:val="1"/>
          <w:sz w:val="20"/>
          <w:szCs w:val="20"/>
          <w:shd w:val="clear" w:color="auto" w:fill="FFFFFF"/>
        </w:rPr>
      </w:pPr>
      <w:r w:rsidRPr="001F4572">
        <w:rPr>
          <w:rFonts w:ascii="Verdana" w:eastAsia="TimesNewRomanPS-BoldMT" w:hAnsi="Verdana"/>
          <w:b/>
          <w:bCs/>
          <w:color w:val="000000" w:themeColor="text1"/>
          <w:sz w:val="20"/>
          <w:szCs w:val="20"/>
          <w:lang w:eastAsia="zh-CN"/>
        </w:rPr>
        <w:t xml:space="preserve">Methodological Design </w:t>
      </w:r>
    </w:p>
    <w:p w14:paraId="1F7A43CB" w14:textId="177E9385" w:rsidR="00002CEC" w:rsidRPr="001F4572" w:rsidRDefault="00002CEC" w:rsidP="009148F9">
      <w:pPr>
        <w:shd w:val="clear" w:color="auto" w:fill="FFFFFF"/>
        <w:ind w:left="0" w:firstLine="720"/>
        <w:rPr>
          <w:rFonts w:ascii="Verdana" w:hAnsi="Verdana"/>
          <w:color w:val="000000" w:themeColor="text1"/>
          <w:sz w:val="20"/>
          <w:szCs w:val="20"/>
        </w:rPr>
      </w:pPr>
      <w:r w:rsidRPr="001F4572">
        <w:rPr>
          <w:rFonts w:ascii="Verdana" w:hAnsi="Verdana"/>
          <w:color w:val="000000" w:themeColor="text1"/>
          <w:sz w:val="20"/>
          <w:szCs w:val="20"/>
        </w:rPr>
        <w:t>The study was conducted in Rawalakot district Poonch, AJK, using qualitative research methods. Qualitative methodology is a subjective study in which the views and opinions of the respondents are known in depth. Qualitative methodology has been used in this study to explore in detail the opinions, views and experiences of daily wage workers.</w:t>
      </w:r>
      <w:r w:rsidR="009148F9" w:rsidRPr="001F4572">
        <w:rPr>
          <w:rFonts w:ascii="Verdana" w:hAnsi="Verdana"/>
          <w:color w:val="000000" w:themeColor="text1"/>
          <w:sz w:val="20"/>
          <w:szCs w:val="20"/>
        </w:rPr>
        <w:t xml:space="preserve"> </w:t>
      </w:r>
      <w:r w:rsidRPr="001F4572">
        <w:rPr>
          <w:rFonts w:ascii="Verdana" w:hAnsi="Verdana"/>
          <w:color w:val="000000" w:themeColor="text1"/>
          <w:sz w:val="20"/>
          <w:szCs w:val="20"/>
        </w:rPr>
        <w:t>According to the researchers' judgment, a sample of 10 daily wage workers was chosen. Although qualitative research does not require a big number of participants, the study focuses on rich and thorough information. Keeping this in mind, I picked 10 respondents as the study's sample size, and my sample size selection was based on the saturation point; all interviews were done until the saturation stage was reached. The researchers in the proposed study employed purposive sampling.</w:t>
      </w:r>
    </w:p>
    <w:p w14:paraId="62F06198" w14:textId="77777777" w:rsidR="009148F9" w:rsidRPr="001F4572" w:rsidRDefault="009148F9" w:rsidP="00002CEC">
      <w:pPr>
        <w:ind w:left="0" w:firstLine="0"/>
        <w:rPr>
          <w:rFonts w:ascii="Verdana" w:eastAsia="TimesNewRomanPS-BoldMT" w:hAnsi="Verdana"/>
          <w:b/>
          <w:bCs/>
          <w:color w:val="000000" w:themeColor="text1"/>
          <w:sz w:val="20"/>
          <w:szCs w:val="20"/>
          <w:lang w:eastAsia="zh-CN"/>
        </w:rPr>
      </w:pPr>
    </w:p>
    <w:p w14:paraId="308775D9" w14:textId="3C09E9AA" w:rsidR="00002CEC" w:rsidRPr="001F4572" w:rsidRDefault="00002CEC" w:rsidP="009148F9">
      <w:pPr>
        <w:pStyle w:val="ListParagraph"/>
        <w:numPr>
          <w:ilvl w:val="1"/>
          <w:numId w:val="48"/>
        </w:numPr>
        <w:rPr>
          <w:rFonts w:ascii="Verdana" w:eastAsia="TimesNewRomanPS-BoldMT" w:hAnsi="Verdana"/>
          <w:b/>
          <w:bCs/>
          <w:color w:val="000000" w:themeColor="text1"/>
          <w:sz w:val="20"/>
          <w:szCs w:val="20"/>
          <w:lang w:eastAsia="zh-CN"/>
        </w:rPr>
      </w:pPr>
      <w:r w:rsidRPr="001F4572">
        <w:rPr>
          <w:rFonts w:ascii="Verdana" w:eastAsia="TimesNewRomanPS-BoldMT" w:hAnsi="Verdana"/>
          <w:b/>
          <w:bCs/>
          <w:color w:val="000000" w:themeColor="text1"/>
          <w:sz w:val="20"/>
          <w:szCs w:val="20"/>
          <w:lang w:eastAsia="zh-CN"/>
        </w:rPr>
        <w:t xml:space="preserve">Data Collection </w:t>
      </w:r>
    </w:p>
    <w:p w14:paraId="57C0DB06" w14:textId="77777777" w:rsidR="00002CEC" w:rsidRPr="001F4572" w:rsidRDefault="00002CEC" w:rsidP="009148F9">
      <w:pPr>
        <w:ind w:left="0" w:firstLine="720"/>
        <w:rPr>
          <w:rFonts w:ascii="Verdana" w:hAnsi="Verdana"/>
          <w:color w:val="000000" w:themeColor="text1"/>
          <w:sz w:val="20"/>
          <w:szCs w:val="20"/>
        </w:rPr>
      </w:pPr>
      <w:r w:rsidRPr="001F4572">
        <w:rPr>
          <w:rFonts w:ascii="Verdana" w:hAnsi="Verdana"/>
          <w:color w:val="000000" w:themeColor="text1"/>
          <w:sz w:val="20"/>
          <w:szCs w:val="20"/>
        </w:rPr>
        <w:t>The data was collected from respondents in the laborer profession (daily wage workers) using an interview guide. An interview guide is a compilation of questions asked of respondents during face-to-face interactions.</w:t>
      </w:r>
    </w:p>
    <w:p w14:paraId="50642904" w14:textId="77777777" w:rsidR="009148F9" w:rsidRPr="001F4572" w:rsidRDefault="009148F9" w:rsidP="00002CEC">
      <w:pPr>
        <w:ind w:left="0" w:firstLine="0"/>
        <w:rPr>
          <w:rFonts w:ascii="Verdana" w:eastAsia="TimesNewRomanPS-BoldMT" w:hAnsi="Verdana"/>
          <w:b/>
          <w:bCs/>
          <w:color w:val="000000" w:themeColor="text1"/>
          <w:sz w:val="20"/>
          <w:szCs w:val="20"/>
          <w:lang w:eastAsia="zh-CN"/>
        </w:rPr>
      </w:pPr>
    </w:p>
    <w:p w14:paraId="1C9F632D" w14:textId="3CD50CA9" w:rsidR="00002CEC" w:rsidRPr="001F4572" w:rsidRDefault="00002CEC" w:rsidP="009148F9">
      <w:pPr>
        <w:pStyle w:val="ListParagraph"/>
        <w:numPr>
          <w:ilvl w:val="1"/>
          <w:numId w:val="48"/>
        </w:numPr>
        <w:rPr>
          <w:rFonts w:ascii="Verdana" w:hAnsi="Verdana"/>
          <w:b/>
          <w:bCs/>
          <w:color w:val="000000" w:themeColor="text1"/>
          <w:sz w:val="20"/>
          <w:szCs w:val="20"/>
        </w:rPr>
      </w:pPr>
      <w:r w:rsidRPr="001F4572">
        <w:rPr>
          <w:rFonts w:ascii="Verdana" w:eastAsia="TimesNewRomanPS-BoldMT" w:hAnsi="Verdana"/>
          <w:b/>
          <w:bCs/>
          <w:color w:val="000000" w:themeColor="text1"/>
          <w:sz w:val="20"/>
          <w:szCs w:val="20"/>
          <w:lang w:eastAsia="zh-CN"/>
        </w:rPr>
        <w:t xml:space="preserve">Inclusion &amp; Exclusion Criteria </w:t>
      </w:r>
    </w:p>
    <w:p w14:paraId="29AC81B4" w14:textId="77777777" w:rsidR="00002CEC" w:rsidRPr="001F4572" w:rsidRDefault="00002CEC" w:rsidP="009148F9">
      <w:pPr>
        <w:ind w:left="0" w:firstLine="720"/>
        <w:rPr>
          <w:rFonts w:ascii="Verdana" w:eastAsia="SimSun" w:hAnsi="Verdana"/>
          <w:color w:val="000000" w:themeColor="text1"/>
          <w:sz w:val="20"/>
          <w:szCs w:val="20"/>
          <w:lang w:eastAsia="zh-CN"/>
        </w:rPr>
      </w:pPr>
      <w:r w:rsidRPr="001F4572">
        <w:rPr>
          <w:rFonts w:ascii="Verdana" w:eastAsia="SimSun" w:hAnsi="Verdana"/>
          <w:color w:val="000000" w:themeColor="text1"/>
          <w:sz w:val="20"/>
          <w:szCs w:val="20"/>
          <w:lang w:eastAsia="zh-CN"/>
        </w:rPr>
        <w:t xml:space="preserve">Present study excluded monthly wage workers as primary interest of researchers was to find out influence of inflation on daily wage workers. </w:t>
      </w:r>
    </w:p>
    <w:p w14:paraId="0D71F456" w14:textId="77777777" w:rsidR="009148F9" w:rsidRPr="001F4572" w:rsidRDefault="009148F9" w:rsidP="00002CEC">
      <w:pPr>
        <w:ind w:left="0" w:firstLine="0"/>
        <w:rPr>
          <w:rFonts w:ascii="Verdana" w:eastAsia="TimesNewRomanPS-BoldMT" w:hAnsi="Verdana"/>
          <w:b/>
          <w:bCs/>
          <w:color w:val="000000" w:themeColor="text1"/>
          <w:sz w:val="20"/>
          <w:szCs w:val="20"/>
          <w:lang w:eastAsia="zh-CN"/>
        </w:rPr>
      </w:pPr>
    </w:p>
    <w:p w14:paraId="59F88D63" w14:textId="0EB68904" w:rsidR="00002CEC" w:rsidRPr="001F4572" w:rsidRDefault="00002CEC" w:rsidP="009148F9">
      <w:pPr>
        <w:pStyle w:val="ListParagraph"/>
        <w:numPr>
          <w:ilvl w:val="0"/>
          <w:numId w:val="48"/>
        </w:numPr>
        <w:ind w:left="720" w:hanging="720"/>
        <w:rPr>
          <w:rFonts w:ascii="Verdana" w:hAnsi="Verdana"/>
          <w:b/>
          <w:bCs/>
          <w:color w:val="000000" w:themeColor="text1"/>
          <w:sz w:val="22"/>
          <w:szCs w:val="22"/>
        </w:rPr>
      </w:pPr>
      <w:r w:rsidRPr="001F4572">
        <w:rPr>
          <w:rFonts w:ascii="Verdana" w:eastAsia="TimesNewRomanPS-BoldMT" w:hAnsi="Verdana"/>
          <w:b/>
          <w:bCs/>
          <w:color w:val="000000" w:themeColor="text1"/>
          <w:sz w:val="22"/>
          <w:szCs w:val="22"/>
          <w:lang w:eastAsia="zh-CN"/>
        </w:rPr>
        <w:t xml:space="preserve">Analysis </w:t>
      </w:r>
    </w:p>
    <w:p w14:paraId="3B853A7A" w14:textId="77777777" w:rsidR="009148F9" w:rsidRPr="001F4572" w:rsidRDefault="00002CEC" w:rsidP="009148F9">
      <w:pPr>
        <w:ind w:left="0" w:firstLine="720"/>
        <w:rPr>
          <w:rFonts w:ascii="Verdana" w:eastAsia="SimSun" w:hAnsi="Verdana"/>
          <w:color w:val="000000" w:themeColor="text1"/>
          <w:sz w:val="20"/>
          <w:szCs w:val="20"/>
          <w:lang w:eastAsia="zh-CN"/>
        </w:rPr>
      </w:pPr>
      <w:r w:rsidRPr="001F4572">
        <w:rPr>
          <w:rFonts w:ascii="Verdana" w:eastAsia="SimSun" w:hAnsi="Verdana"/>
          <w:color w:val="000000" w:themeColor="text1"/>
          <w:sz w:val="20"/>
          <w:szCs w:val="20"/>
          <w:lang w:eastAsia="zh-CN"/>
        </w:rPr>
        <w:t>The collected data was evaluated using the qualitative method's thematic analysis. Codes were assigned to interviewee replies that were comparable. This allowed the researchers to identify variances and similarities in the respondents' perceptions of a certain component of phenomena under investigation. We collected similar replies and developed themes from them. This aided us in eliciting comparable reactions to themes.</w:t>
      </w:r>
    </w:p>
    <w:p w14:paraId="73D4C3CD" w14:textId="77777777" w:rsidR="009148F9" w:rsidRPr="001F4572" w:rsidRDefault="009148F9" w:rsidP="009148F9">
      <w:pPr>
        <w:rPr>
          <w:rFonts w:ascii="Verdana" w:eastAsia="SimSun" w:hAnsi="Verdana"/>
          <w:color w:val="000000" w:themeColor="text1"/>
          <w:sz w:val="20"/>
          <w:szCs w:val="20"/>
          <w:lang w:eastAsia="zh-CN"/>
        </w:rPr>
      </w:pPr>
    </w:p>
    <w:p w14:paraId="6951230A" w14:textId="50F83836" w:rsidR="00002CEC" w:rsidRPr="001F4572" w:rsidRDefault="00002CEC" w:rsidP="009148F9">
      <w:pPr>
        <w:pStyle w:val="ListParagraph"/>
        <w:numPr>
          <w:ilvl w:val="1"/>
          <w:numId w:val="48"/>
        </w:numPr>
        <w:rPr>
          <w:rFonts w:ascii="Verdana" w:eastAsia="SimSun" w:hAnsi="Verdana"/>
          <w:b/>
          <w:bCs/>
          <w:color w:val="000000" w:themeColor="text1"/>
          <w:sz w:val="20"/>
          <w:szCs w:val="20"/>
          <w:lang w:eastAsia="zh-CN"/>
        </w:rPr>
      </w:pPr>
      <w:r w:rsidRPr="001F4572">
        <w:rPr>
          <w:rFonts w:ascii="Verdana" w:eastAsia="TimesNewRomanPS-BoldMT" w:hAnsi="Verdana"/>
          <w:b/>
          <w:bCs/>
          <w:color w:val="000000" w:themeColor="text1"/>
          <w:sz w:val="20"/>
          <w:szCs w:val="20"/>
          <w:lang w:eastAsia="zh-CN"/>
        </w:rPr>
        <w:t xml:space="preserve">Data Analysis and Discussion </w:t>
      </w:r>
    </w:p>
    <w:p w14:paraId="68BA1677" w14:textId="77777777" w:rsidR="00002CEC" w:rsidRPr="001F4572" w:rsidRDefault="00002CEC" w:rsidP="009148F9">
      <w:pPr>
        <w:ind w:left="0" w:firstLine="720"/>
        <w:rPr>
          <w:rFonts w:ascii="Verdana" w:eastAsia="SimSun" w:hAnsi="Verdana"/>
          <w:color w:val="000000" w:themeColor="text1"/>
          <w:sz w:val="20"/>
          <w:szCs w:val="20"/>
          <w:lang w:eastAsia="zh-CN"/>
        </w:rPr>
      </w:pPr>
      <w:r w:rsidRPr="001F4572">
        <w:rPr>
          <w:rFonts w:ascii="Verdana" w:eastAsia="SimSun" w:hAnsi="Verdana"/>
          <w:color w:val="000000" w:themeColor="text1"/>
          <w:sz w:val="20"/>
          <w:szCs w:val="20"/>
          <w:lang w:eastAsia="zh-CN"/>
        </w:rPr>
        <w:t xml:space="preserve">The most important aspect of any research is data analysis. Data analysis is the summarization of acquired data. It entails interpreting data acquired using analytical and logical reasoning in order to find patterns, connections, or trends. This section, based on interviews with participants, demonstrates how inflation affects daily wage workers in the study's location. </w:t>
      </w:r>
    </w:p>
    <w:p w14:paraId="45FCB948" w14:textId="77777777" w:rsidR="00002CEC" w:rsidRPr="001F4572" w:rsidRDefault="00002CEC" w:rsidP="00002CEC">
      <w:pPr>
        <w:ind w:left="0" w:firstLine="0"/>
        <w:rPr>
          <w:rFonts w:ascii="Verdana" w:eastAsia="SimSun" w:hAnsi="Verdana"/>
          <w:color w:val="000000" w:themeColor="text1"/>
          <w:sz w:val="20"/>
          <w:szCs w:val="20"/>
          <w:lang w:eastAsia="zh-CN"/>
        </w:rPr>
      </w:pPr>
      <w:r w:rsidRPr="001F4572">
        <w:rPr>
          <w:rFonts w:ascii="Verdana" w:eastAsia="SimSun" w:hAnsi="Verdana"/>
          <w:color w:val="000000" w:themeColor="text1"/>
          <w:sz w:val="20"/>
          <w:szCs w:val="20"/>
          <w:lang w:eastAsia="zh-CN"/>
        </w:rPr>
        <w:t xml:space="preserve">Several daily wage workers were interviewed as a part of this research. They were asked about </w:t>
      </w:r>
      <w:r w:rsidRPr="001F4572">
        <w:rPr>
          <w:rFonts w:ascii="Verdana" w:hAnsi="Verdana"/>
          <w:color w:val="000000" w:themeColor="text1"/>
          <w:sz w:val="20"/>
          <w:szCs w:val="20"/>
          <w:lang w:eastAsia="zh-CN"/>
        </w:rPr>
        <w:t xml:space="preserve">how inflation affects the daily wage workers. </w:t>
      </w:r>
      <w:r w:rsidRPr="001F4572">
        <w:rPr>
          <w:rFonts w:ascii="Verdana" w:eastAsia="SimSun" w:hAnsi="Verdana"/>
          <w:color w:val="000000" w:themeColor="text1"/>
          <w:sz w:val="20"/>
          <w:szCs w:val="20"/>
          <w:lang w:eastAsia="zh-CN"/>
        </w:rPr>
        <w:t xml:space="preserve">They co-operated and participated readily. </w:t>
      </w:r>
    </w:p>
    <w:p w14:paraId="154AD71D" w14:textId="77777777" w:rsidR="009148F9" w:rsidRPr="001F4572" w:rsidRDefault="009148F9" w:rsidP="00002CEC">
      <w:pPr>
        <w:ind w:left="0" w:firstLine="0"/>
        <w:rPr>
          <w:rFonts w:ascii="Verdana" w:eastAsia="SimSun" w:hAnsi="Verdana"/>
          <w:b/>
          <w:color w:val="000000" w:themeColor="text1"/>
          <w:sz w:val="20"/>
          <w:szCs w:val="20"/>
          <w:lang w:eastAsia="zh-CN"/>
        </w:rPr>
      </w:pPr>
    </w:p>
    <w:p w14:paraId="0B5CE822" w14:textId="6016D583" w:rsidR="00002CEC" w:rsidRPr="001F4572" w:rsidRDefault="00002CEC" w:rsidP="009148F9">
      <w:pPr>
        <w:pStyle w:val="ListParagraph"/>
        <w:numPr>
          <w:ilvl w:val="1"/>
          <w:numId w:val="48"/>
        </w:numPr>
        <w:rPr>
          <w:rFonts w:ascii="Verdana" w:eastAsia="SimSun" w:hAnsi="Verdana"/>
          <w:b/>
          <w:color w:val="000000" w:themeColor="text1"/>
          <w:sz w:val="20"/>
          <w:szCs w:val="20"/>
          <w:lang w:eastAsia="zh-CN"/>
        </w:rPr>
      </w:pPr>
      <w:r w:rsidRPr="001F4572">
        <w:rPr>
          <w:rFonts w:ascii="Verdana" w:eastAsia="SimSun" w:hAnsi="Verdana"/>
          <w:b/>
          <w:color w:val="000000" w:themeColor="text1"/>
          <w:sz w:val="20"/>
          <w:szCs w:val="20"/>
          <w:lang w:eastAsia="zh-CN"/>
        </w:rPr>
        <w:t xml:space="preserve">Inflation </w:t>
      </w:r>
      <w:r w:rsidR="009148F9" w:rsidRPr="001F4572">
        <w:rPr>
          <w:rFonts w:ascii="Verdana" w:eastAsia="SimSun" w:hAnsi="Verdana"/>
          <w:b/>
          <w:color w:val="000000" w:themeColor="text1"/>
          <w:sz w:val="20"/>
          <w:szCs w:val="20"/>
          <w:lang w:eastAsia="zh-CN"/>
        </w:rPr>
        <w:t>S</w:t>
      </w:r>
      <w:r w:rsidRPr="001F4572">
        <w:rPr>
          <w:rFonts w:ascii="Verdana" w:eastAsia="SimSun" w:hAnsi="Verdana"/>
          <w:b/>
          <w:color w:val="000000" w:themeColor="text1"/>
          <w:sz w:val="20"/>
          <w:szCs w:val="20"/>
          <w:lang w:eastAsia="zh-CN"/>
        </w:rPr>
        <w:t xml:space="preserve">wayed the </w:t>
      </w:r>
      <w:r w:rsidR="009148F9" w:rsidRPr="001F4572">
        <w:rPr>
          <w:rFonts w:ascii="Verdana" w:eastAsia="SimSun" w:hAnsi="Verdana"/>
          <w:b/>
          <w:color w:val="000000" w:themeColor="text1"/>
          <w:sz w:val="20"/>
          <w:szCs w:val="20"/>
          <w:lang w:eastAsia="zh-CN"/>
        </w:rPr>
        <w:t>L</w:t>
      </w:r>
      <w:r w:rsidRPr="001F4572">
        <w:rPr>
          <w:rFonts w:ascii="Verdana" w:eastAsia="SimSun" w:hAnsi="Verdana"/>
          <w:b/>
          <w:color w:val="000000" w:themeColor="text1"/>
          <w:sz w:val="20"/>
          <w:szCs w:val="20"/>
          <w:lang w:eastAsia="zh-CN"/>
        </w:rPr>
        <w:t xml:space="preserve">ifestyle </w:t>
      </w:r>
    </w:p>
    <w:p w14:paraId="44B7D676" w14:textId="77777777" w:rsidR="009148F9" w:rsidRPr="001F4572" w:rsidRDefault="00002CEC" w:rsidP="009148F9">
      <w:pPr>
        <w:ind w:left="0" w:firstLine="720"/>
        <w:rPr>
          <w:rFonts w:ascii="Verdana" w:eastAsia="SimSun" w:hAnsi="Verdana"/>
          <w:i/>
          <w:color w:val="000000" w:themeColor="text1"/>
          <w:sz w:val="20"/>
          <w:szCs w:val="20"/>
          <w:lang w:eastAsia="zh-CN"/>
        </w:rPr>
      </w:pPr>
      <w:r w:rsidRPr="001F4572">
        <w:rPr>
          <w:rFonts w:ascii="Verdana" w:eastAsia="SimSun" w:hAnsi="Verdana"/>
          <w:color w:val="000000" w:themeColor="text1"/>
          <w:sz w:val="20"/>
          <w:szCs w:val="20"/>
          <w:lang w:eastAsia="zh-CN"/>
        </w:rPr>
        <w:t xml:space="preserve">The first interviewee stated, </w:t>
      </w:r>
      <w:r w:rsidRPr="001F4572">
        <w:rPr>
          <w:rFonts w:ascii="Verdana" w:eastAsia="SimSun" w:hAnsi="Verdana"/>
          <w:i/>
          <w:color w:val="000000" w:themeColor="text1"/>
          <w:sz w:val="20"/>
          <w:szCs w:val="20"/>
          <w:lang w:eastAsia="zh-CN"/>
        </w:rPr>
        <w:t>"Inflation hurts the poor terribly, and it hurts them for life and generations. Inflation, in particular, drives the poor to spend practically their entire income on the most basic essentials of existence, such as food, clothes, and shelter, in that order. Inflation hurts everyone, but low-wage people suffer the most”.</w:t>
      </w:r>
    </w:p>
    <w:p w14:paraId="54FAFCF8" w14:textId="77777777" w:rsidR="009148F9" w:rsidRPr="001F4572" w:rsidRDefault="009148F9" w:rsidP="009148F9">
      <w:pPr>
        <w:ind w:left="0" w:firstLine="720"/>
        <w:rPr>
          <w:rFonts w:ascii="Verdana" w:eastAsia="SimSun" w:hAnsi="Verdana"/>
          <w:i/>
          <w:color w:val="000000" w:themeColor="text1"/>
          <w:sz w:val="20"/>
          <w:szCs w:val="20"/>
          <w:lang w:eastAsia="zh-CN"/>
        </w:rPr>
      </w:pPr>
    </w:p>
    <w:p w14:paraId="576DBCF3" w14:textId="77777777" w:rsidR="001F4572" w:rsidRPr="001F4572" w:rsidRDefault="00002CEC" w:rsidP="001F4572">
      <w:pPr>
        <w:ind w:left="0" w:firstLine="720"/>
        <w:rPr>
          <w:rFonts w:ascii="Verdana" w:eastAsia="SimSun" w:hAnsi="Verdana"/>
          <w:b/>
          <w:color w:val="000000" w:themeColor="text1"/>
          <w:sz w:val="20"/>
          <w:szCs w:val="20"/>
          <w:lang w:eastAsia="zh-CN"/>
        </w:rPr>
      </w:pPr>
      <w:r w:rsidRPr="001F4572">
        <w:rPr>
          <w:rFonts w:ascii="Verdana" w:eastAsia="SimSun" w:hAnsi="Verdana"/>
          <w:color w:val="000000" w:themeColor="text1"/>
          <w:sz w:val="20"/>
          <w:szCs w:val="20"/>
          <w:lang w:eastAsia="zh-CN"/>
        </w:rPr>
        <w:t xml:space="preserve">According to the excerpt, inflation can have a disproportionate impact on the impoverished. As the cost of products and services rises, it may become more difficult for individuals on low salaries to purchase the essentials of life. This can result in a lower standard of life and an increase in poverty rates. Furthermore, inflation can lead to a fall in the buying </w:t>
      </w:r>
      <w:r w:rsidRPr="001F4572">
        <w:rPr>
          <w:rFonts w:ascii="Verdana" w:eastAsia="SimSun" w:hAnsi="Verdana"/>
          <w:color w:val="000000" w:themeColor="text1"/>
          <w:sz w:val="20"/>
          <w:szCs w:val="20"/>
          <w:lang w:eastAsia="zh-CN"/>
        </w:rPr>
        <w:lastRenderedPageBreak/>
        <w:t>power of social assistance programs, exacerbating the negative consequences on the poor.</w:t>
      </w:r>
      <w:r w:rsidR="001F4572" w:rsidRPr="001F4572">
        <w:rPr>
          <w:rFonts w:ascii="Verdana" w:eastAsia="SimSun" w:hAnsi="Verdana"/>
          <w:b/>
          <w:color w:val="000000" w:themeColor="text1"/>
          <w:sz w:val="20"/>
          <w:szCs w:val="20"/>
          <w:lang w:eastAsia="zh-CN"/>
        </w:rPr>
        <w:t xml:space="preserve"> </w:t>
      </w:r>
      <w:r w:rsidRPr="001F4572">
        <w:rPr>
          <w:rFonts w:ascii="Verdana" w:eastAsia="SimSun" w:hAnsi="Verdana"/>
          <w:color w:val="000000" w:themeColor="text1"/>
          <w:sz w:val="20"/>
          <w:szCs w:val="20"/>
          <w:lang w:eastAsia="zh-CN"/>
        </w:rPr>
        <w:t>Yet another interviewee explained throwing light on the query</w:t>
      </w:r>
      <w:r w:rsidRPr="001F4572">
        <w:rPr>
          <w:rFonts w:ascii="Verdana" w:eastAsia="SimSun" w:hAnsi="Verdana"/>
          <w:i/>
          <w:color w:val="000000" w:themeColor="text1"/>
          <w:sz w:val="20"/>
          <w:szCs w:val="20"/>
          <w:lang w:eastAsia="zh-CN"/>
        </w:rPr>
        <w:t>, "I am unable to afford the same goods and services that we use to afford not long ago, this inflation lowers our standard of living, since we could no longer afford what we use to afford and it pushes us into poverty".</w:t>
      </w:r>
    </w:p>
    <w:p w14:paraId="3C67B984" w14:textId="77777777" w:rsidR="001F4572" w:rsidRPr="001F4572" w:rsidRDefault="001F4572" w:rsidP="001F4572">
      <w:pPr>
        <w:ind w:left="0" w:firstLine="720"/>
        <w:rPr>
          <w:rFonts w:ascii="Verdana" w:eastAsia="SimSun" w:hAnsi="Verdana"/>
          <w:b/>
          <w:color w:val="000000" w:themeColor="text1"/>
          <w:sz w:val="20"/>
          <w:szCs w:val="20"/>
          <w:lang w:eastAsia="zh-CN"/>
        </w:rPr>
      </w:pPr>
    </w:p>
    <w:p w14:paraId="63990298" w14:textId="27F6A6BF" w:rsidR="009148F9" w:rsidRPr="001F4572" w:rsidRDefault="00002CEC" w:rsidP="001F4572">
      <w:pPr>
        <w:ind w:left="0" w:firstLine="720"/>
        <w:rPr>
          <w:rFonts w:ascii="Verdana" w:eastAsia="SimSun" w:hAnsi="Verdana"/>
          <w:b/>
          <w:color w:val="000000" w:themeColor="text1"/>
          <w:sz w:val="20"/>
          <w:szCs w:val="20"/>
          <w:lang w:eastAsia="zh-CN"/>
        </w:rPr>
      </w:pPr>
      <w:r w:rsidRPr="001F4572">
        <w:rPr>
          <w:rFonts w:ascii="Verdana" w:eastAsia="SimSun" w:hAnsi="Verdana"/>
          <w:iCs/>
          <w:color w:val="000000" w:themeColor="text1"/>
          <w:sz w:val="20"/>
          <w:szCs w:val="20"/>
          <w:lang w:eastAsia="zh-CN"/>
        </w:rPr>
        <w:t>One of the respondents expressed,</w:t>
      </w:r>
      <w:r w:rsidRPr="001F4572">
        <w:rPr>
          <w:rFonts w:ascii="Verdana" w:eastAsia="SimSun" w:hAnsi="Verdana"/>
          <w:i/>
          <w:iCs/>
          <w:color w:val="000000" w:themeColor="text1"/>
          <w:sz w:val="20"/>
          <w:szCs w:val="20"/>
          <w:lang w:eastAsia="zh-CN"/>
        </w:rPr>
        <w:t xml:space="preserve"> "Inflation influenced my life in a very different way." I can't bring everything I need without thinking about it. I must think, calculate, and then bring something. Most supermarket items, such as fruit, eggs, meat, and vegetables, must be reduced in size."</w:t>
      </w:r>
    </w:p>
    <w:p w14:paraId="6DD5A2D1" w14:textId="77777777" w:rsidR="009148F9" w:rsidRPr="001F4572" w:rsidRDefault="009148F9" w:rsidP="00002CEC">
      <w:pPr>
        <w:ind w:left="0" w:firstLine="0"/>
        <w:rPr>
          <w:rFonts w:ascii="Verdana" w:eastAsia="SimSun" w:hAnsi="Verdana"/>
          <w:i/>
          <w:iCs/>
          <w:color w:val="000000" w:themeColor="text1"/>
          <w:sz w:val="20"/>
          <w:szCs w:val="20"/>
          <w:lang w:eastAsia="zh-CN"/>
        </w:rPr>
      </w:pPr>
    </w:p>
    <w:p w14:paraId="6EAEE82E" w14:textId="00057E94" w:rsidR="00002CEC" w:rsidRPr="001F4572" w:rsidRDefault="00002CEC" w:rsidP="009148F9">
      <w:pPr>
        <w:ind w:left="0" w:firstLine="720"/>
        <w:rPr>
          <w:rFonts w:ascii="Verdana" w:eastAsia="SimSun" w:hAnsi="Verdana"/>
          <w:i/>
          <w:iCs/>
          <w:color w:val="000000" w:themeColor="text1"/>
          <w:sz w:val="20"/>
          <w:szCs w:val="20"/>
          <w:lang w:eastAsia="zh-CN"/>
        </w:rPr>
      </w:pPr>
      <w:r w:rsidRPr="001F4572">
        <w:rPr>
          <w:rFonts w:ascii="Verdana" w:eastAsia="SimSun" w:hAnsi="Verdana"/>
          <w:color w:val="000000" w:themeColor="text1"/>
          <w:sz w:val="20"/>
          <w:szCs w:val="20"/>
          <w:lang w:eastAsia="zh-CN"/>
        </w:rPr>
        <w:t xml:space="preserve">This quotation indicates </w:t>
      </w:r>
      <w:r w:rsidRPr="001F4572">
        <w:rPr>
          <w:rFonts w:ascii="Verdana" w:eastAsia="Segoe UI" w:hAnsi="Verdana"/>
          <w:color w:val="000000" w:themeColor="text1"/>
          <w:sz w:val="20"/>
          <w:szCs w:val="20"/>
          <w:shd w:val="clear" w:color="auto" w:fill="FFFFFF"/>
        </w:rPr>
        <w:t>People experience different inflation rates and different levels of inflation stress based on household composition and income, housing tenure and other factors. Inflation is far too high and is particularly stressful for lower income households including many Black and Hispanic families, families with children and renters.</w:t>
      </w:r>
    </w:p>
    <w:p w14:paraId="5A718B6D" w14:textId="77777777" w:rsidR="009148F9" w:rsidRPr="001F4572" w:rsidRDefault="009148F9" w:rsidP="00002CEC">
      <w:pPr>
        <w:ind w:left="0" w:firstLine="0"/>
        <w:rPr>
          <w:rFonts w:ascii="Verdana" w:eastAsia="Segoe UI" w:hAnsi="Verdana"/>
          <w:b/>
          <w:iCs/>
          <w:color w:val="000000" w:themeColor="text1"/>
          <w:sz w:val="20"/>
          <w:szCs w:val="20"/>
          <w:shd w:val="clear" w:color="auto" w:fill="FFFFFF"/>
        </w:rPr>
      </w:pPr>
    </w:p>
    <w:p w14:paraId="470E13D8" w14:textId="3BD8360B" w:rsidR="00002CEC" w:rsidRPr="001F4572" w:rsidRDefault="00002CEC" w:rsidP="009148F9">
      <w:pPr>
        <w:pStyle w:val="ListParagraph"/>
        <w:numPr>
          <w:ilvl w:val="1"/>
          <w:numId w:val="48"/>
        </w:numPr>
        <w:rPr>
          <w:rFonts w:ascii="Verdana" w:eastAsia="Segoe UI" w:hAnsi="Verdana"/>
          <w:b/>
          <w:iCs/>
          <w:color w:val="000000" w:themeColor="text1"/>
          <w:sz w:val="20"/>
          <w:szCs w:val="20"/>
          <w:shd w:val="clear" w:color="auto" w:fill="FFFFFF"/>
        </w:rPr>
      </w:pPr>
      <w:r w:rsidRPr="001F4572">
        <w:rPr>
          <w:rFonts w:ascii="Verdana" w:eastAsia="Segoe UI" w:hAnsi="Verdana"/>
          <w:b/>
          <w:iCs/>
          <w:color w:val="000000" w:themeColor="text1"/>
          <w:sz w:val="20"/>
          <w:szCs w:val="20"/>
          <w:shd w:val="clear" w:color="auto" w:fill="FFFFFF"/>
        </w:rPr>
        <w:t xml:space="preserve">Hurdles for </w:t>
      </w:r>
      <w:r w:rsidR="009148F9" w:rsidRPr="001F4572">
        <w:rPr>
          <w:rFonts w:ascii="Verdana" w:eastAsia="Segoe UI" w:hAnsi="Verdana"/>
          <w:b/>
          <w:iCs/>
          <w:color w:val="000000" w:themeColor="text1"/>
          <w:sz w:val="20"/>
          <w:szCs w:val="20"/>
          <w:shd w:val="clear" w:color="auto" w:fill="FFFFFF"/>
        </w:rPr>
        <w:t>R</w:t>
      </w:r>
      <w:r w:rsidRPr="001F4572">
        <w:rPr>
          <w:rFonts w:ascii="Verdana" w:eastAsia="Segoe UI" w:hAnsi="Verdana"/>
          <w:b/>
          <w:iCs/>
          <w:color w:val="000000" w:themeColor="text1"/>
          <w:sz w:val="20"/>
          <w:szCs w:val="20"/>
          <w:shd w:val="clear" w:color="auto" w:fill="FFFFFF"/>
        </w:rPr>
        <w:t xml:space="preserve">esources </w:t>
      </w:r>
      <w:r w:rsidR="009148F9" w:rsidRPr="001F4572">
        <w:rPr>
          <w:rFonts w:ascii="Verdana" w:eastAsia="Segoe UI" w:hAnsi="Verdana"/>
          <w:b/>
          <w:iCs/>
          <w:color w:val="000000" w:themeColor="text1"/>
          <w:sz w:val="20"/>
          <w:szCs w:val="20"/>
          <w:shd w:val="clear" w:color="auto" w:fill="FFFFFF"/>
        </w:rPr>
        <w:t>A</w:t>
      </w:r>
      <w:r w:rsidRPr="001F4572">
        <w:rPr>
          <w:rFonts w:ascii="Verdana" w:eastAsia="Segoe UI" w:hAnsi="Verdana"/>
          <w:b/>
          <w:iCs/>
          <w:color w:val="000000" w:themeColor="text1"/>
          <w:sz w:val="20"/>
          <w:szCs w:val="20"/>
          <w:shd w:val="clear" w:color="auto" w:fill="FFFFFF"/>
        </w:rPr>
        <w:t xml:space="preserve">scribed to </w:t>
      </w:r>
      <w:r w:rsidR="009148F9" w:rsidRPr="001F4572">
        <w:rPr>
          <w:rFonts w:ascii="Verdana" w:eastAsia="Segoe UI" w:hAnsi="Verdana"/>
          <w:b/>
          <w:iCs/>
          <w:color w:val="000000" w:themeColor="text1"/>
          <w:sz w:val="20"/>
          <w:szCs w:val="20"/>
          <w:shd w:val="clear" w:color="auto" w:fill="FFFFFF"/>
        </w:rPr>
        <w:t>I</w:t>
      </w:r>
      <w:r w:rsidRPr="001F4572">
        <w:rPr>
          <w:rFonts w:ascii="Verdana" w:eastAsia="Segoe UI" w:hAnsi="Verdana"/>
          <w:b/>
          <w:iCs/>
          <w:color w:val="000000" w:themeColor="text1"/>
          <w:sz w:val="20"/>
          <w:szCs w:val="20"/>
          <w:shd w:val="clear" w:color="auto" w:fill="FFFFFF"/>
        </w:rPr>
        <w:t>nflation</w:t>
      </w:r>
    </w:p>
    <w:p w14:paraId="021C2C0D" w14:textId="77777777" w:rsidR="00002CEC" w:rsidRPr="001F4572" w:rsidRDefault="00002CEC" w:rsidP="009148F9">
      <w:pPr>
        <w:ind w:left="0" w:firstLine="720"/>
        <w:rPr>
          <w:rFonts w:ascii="Verdana" w:eastAsia="SimSun" w:hAnsi="Verdana"/>
          <w:i/>
          <w:iCs/>
          <w:color w:val="000000" w:themeColor="text1"/>
          <w:sz w:val="20"/>
          <w:szCs w:val="20"/>
          <w:lang w:eastAsia="zh-CN"/>
        </w:rPr>
      </w:pPr>
      <w:r w:rsidRPr="001F4572">
        <w:rPr>
          <w:rFonts w:ascii="Verdana" w:eastAsia="SimSun" w:hAnsi="Verdana"/>
          <w:color w:val="000000" w:themeColor="text1"/>
          <w:sz w:val="20"/>
          <w:szCs w:val="20"/>
          <w:lang w:eastAsia="zh-CN"/>
        </w:rPr>
        <w:t xml:space="preserve">On a query about hurdles you (participant) are facing for resources ascribed to inflation, interviewee expressed her views and shared, </w:t>
      </w:r>
      <w:r w:rsidRPr="001F4572">
        <w:rPr>
          <w:rFonts w:ascii="Verdana" w:eastAsia="SimSun" w:hAnsi="Verdana"/>
          <w:i/>
          <w:color w:val="000000" w:themeColor="text1"/>
          <w:sz w:val="20"/>
          <w:szCs w:val="20"/>
          <w:lang w:eastAsia="zh-CN"/>
        </w:rPr>
        <w:t>"I have a lot of debt that I borrowed from different people just to pay my house rent, grocery bills, and my children's school fees. I, too, considered withdrawing my children from school, but because they are bright and industrious, they are eager to learn. So far, I have taken on a lot of debt to cover my children's education expenses."</w:t>
      </w:r>
    </w:p>
    <w:p w14:paraId="0813C42F" w14:textId="77777777" w:rsidR="009148F9" w:rsidRPr="001F4572" w:rsidRDefault="00002CEC" w:rsidP="00002CEC">
      <w:pPr>
        <w:shd w:val="clear" w:color="auto" w:fill="FFFFFF"/>
        <w:ind w:left="0" w:firstLine="0"/>
        <w:rPr>
          <w:rFonts w:ascii="Verdana" w:eastAsia="Arial" w:hAnsi="Verdana"/>
          <w:color w:val="000000" w:themeColor="text1"/>
          <w:sz w:val="20"/>
          <w:szCs w:val="20"/>
          <w:shd w:val="clear" w:color="auto" w:fill="FFFFFF"/>
        </w:rPr>
      </w:pPr>
      <w:r w:rsidRPr="001F4572">
        <w:rPr>
          <w:rFonts w:ascii="Verdana" w:eastAsia="SimSun" w:hAnsi="Verdana"/>
          <w:color w:val="000000" w:themeColor="text1"/>
          <w:sz w:val="20"/>
          <w:szCs w:val="20"/>
          <w:lang w:eastAsia="zh-CN"/>
        </w:rPr>
        <w:t>This excerpt indicates, In a scenario of inflation, unevenly growing prices eventually diminish some customers' purchasing power, and this erosion of real income is the single greatest cost of inflation. Inflation can also distort buying power over time for fixed-interest rate receivers and payers. When inflation rises, so do the prices of goods and services, eroding buying power," Fleming argues. This is especially troubling for individuals on limited incomes, since inflation can deprive them of their capacity to buy basics such as food, shelter, prescriptions, education, and transportation. The majority of people see the consequences of rising living costs in their everyday lives. However, rising costs disproportionately affect the middle class and the working poor. Increased food, gas, and utility prices imply less money for savings or discretionary expenditure.</w:t>
      </w:r>
    </w:p>
    <w:p w14:paraId="0B675523" w14:textId="77777777" w:rsidR="009148F9" w:rsidRPr="001F4572" w:rsidRDefault="009148F9" w:rsidP="00002CEC">
      <w:pPr>
        <w:shd w:val="clear" w:color="auto" w:fill="FFFFFF"/>
        <w:ind w:left="0" w:firstLine="0"/>
        <w:rPr>
          <w:rFonts w:ascii="Verdana" w:eastAsia="Arial" w:hAnsi="Verdana"/>
          <w:color w:val="000000" w:themeColor="text1"/>
          <w:sz w:val="20"/>
          <w:szCs w:val="20"/>
          <w:shd w:val="clear" w:color="auto" w:fill="FFFFFF"/>
        </w:rPr>
      </w:pPr>
    </w:p>
    <w:p w14:paraId="62B9C651" w14:textId="7959F70B" w:rsidR="00002CEC" w:rsidRPr="001F4572" w:rsidRDefault="00002CEC" w:rsidP="009148F9">
      <w:pPr>
        <w:shd w:val="clear" w:color="auto" w:fill="FFFFFF"/>
        <w:ind w:left="0" w:firstLine="720"/>
        <w:rPr>
          <w:rFonts w:ascii="Verdana" w:eastAsia="Arial" w:hAnsi="Verdana"/>
          <w:color w:val="000000" w:themeColor="text1"/>
          <w:sz w:val="20"/>
          <w:szCs w:val="20"/>
          <w:shd w:val="clear" w:color="auto" w:fill="FFFFFF"/>
        </w:rPr>
      </w:pPr>
      <w:r w:rsidRPr="001F4572">
        <w:rPr>
          <w:rFonts w:ascii="Verdana" w:eastAsia="Arial" w:hAnsi="Verdana"/>
          <w:color w:val="000000" w:themeColor="text1"/>
          <w:sz w:val="20"/>
          <w:szCs w:val="20"/>
          <w:shd w:val="clear" w:color="auto" w:fill="FFFFFF"/>
        </w:rPr>
        <w:t xml:space="preserve">Another participant expressed his views about above mentioned query, </w:t>
      </w:r>
      <w:r w:rsidRPr="001F4572">
        <w:rPr>
          <w:rFonts w:ascii="Verdana" w:eastAsia="Arial" w:hAnsi="Verdana"/>
          <w:i/>
          <w:iCs/>
          <w:color w:val="000000" w:themeColor="text1"/>
          <w:sz w:val="20"/>
          <w:szCs w:val="20"/>
          <w:shd w:val="clear" w:color="auto" w:fill="FFFFFF"/>
        </w:rPr>
        <w:t xml:space="preserve"> “I am disabled with one hand that’s why most people do not give me labor. Now a days I am working in the wheat  field, they give me 800 per day but it does not support me. I often wonder that what is the purpose of my life”.</w:t>
      </w:r>
    </w:p>
    <w:p w14:paraId="2A5FCD3F" w14:textId="77777777" w:rsidR="009148F9" w:rsidRPr="001F4572" w:rsidRDefault="009148F9" w:rsidP="00002CEC">
      <w:pPr>
        <w:shd w:val="clear" w:color="auto" w:fill="FFFFFF"/>
        <w:ind w:left="0" w:firstLine="0"/>
        <w:rPr>
          <w:rFonts w:ascii="Verdana" w:eastAsia="Arial" w:hAnsi="Verdana"/>
          <w:b/>
          <w:iCs/>
          <w:color w:val="000000" w:themeColor="text1"/>
          <w:sz w:val="20"/>
          <w:szCs w:val="20"/>
          <w:shd w:val="clear" w:color="auto" w:fill="FFFFFF"/>
        </w:rPr>
      </w:pPr>
    </w:p>
    <w:p w14:paraId="0BF9E99F" w14:textId="2EE57CA5" w:rsidR="00002CEC" w:rsidRPr="001F4572" w:rsidRDefault="009148F9" w:rsidP="009148F9">
      <w:pPr>
        <w:pStyle w:val="ListParagraph"/>
        <w:numPr>
          <w:ilvl w:val="1"/>
          <w:numId w:val="48"/>
        </w:numPr>
        <w:shd w:val="clear" w:color="auto" w:fill="FFFFFF"/>
        <w:rPr>
          <w:rFonts w:ascii="Verdana" w:eastAsia="Arial" w:hAnsi="Verdana"/>
          <w:b/>
          <w:iCs/>
          <w:color w:val="000000" w:themeColor="text1"/>
          <w:sz w:val="20"/>
          <w:szCs w:val="20"/>
          <w:shd w:val="clear" w:color="auto" w:fill="FFFFFF"/>
        </w:rPr>
      </w:pPr>
      <w:r w:rsidRPr="001F4572">
        <w:rPr>
          <w:rFonts w:ascii="Verdana" w:eastAsia="Arial" w:hAnsi="Verdana"/>
          <w:b/>
          <w:iCs/>
          <w:color w:val="000000" w:themeColor="text1"/>
          <w:sz w:val="20"/>
          <w:szCs w:val="20"/>
          <w:shd w:val="clear" w:color="auto" w:fill="FFFFFF"/>
        </w:rPr>
        <w:t>Q</w:t>
      </w:r>
      <w:r w:rsidR="00002CEC" w:rsidRPr="001F4572">
        <w:rPr>
          <w:rFonts w:ascii="Verdana" w:eastAsia="Arial" w:hAnsi="Verdana"/>
          <w:b/>
          <w:iCs/>
          <w:color w:val="000000" w:themeColor="text1"/>
          <w:sz w:val="20"/>
          <w:szCs w:val="20"/>
          <w:shd w:val="clear" w:color="auto" w:fill="FFFFFF"/>
        </w:rPr>
        <w:t xml:space="preserve">ages </w:t>
      </w:r>
      <w:r w:rsidRPr="001F4572">
        <w:rPr>
          <w:rFonts w:ascii="Verdana" w:eastAsia="Arial" w:hAnsi="Verdana"/>
          <w:b/>
          <w:iCs/>
          <w:color w:val="000000" w:themeColor="text1"/>
          <w:sz w:val="20"/>
          <w:szCs w:val="20"/>
          <w:shd w:val="clear" w:color="auto" w:fill="FFFFFF"/>
        </w:rPr>
        <w:t>E</w:t>
      </w:r>
      <w:r w:rsidR="00002CEC" w:rsidRPr="001F4572">
        <w:rPr>
          <w:rFonts w:ascii="Verdana" w:eastAsia="Arial" w:hAnsi="Verdana"/>
          <w:b/>
          <w:iCs/>
          <w:color w:val="000000" w:themeColor="text1"/>
          <w:sz w:val="20"/>
          <w:szCs w:val="20"/>
          <w:shd w:val="clear" w:color="auto" w:fill="FFFFFF"/>
        </w:rPr>
        <w:t xml:space="preserve">nhanced after </w:t>
      </w:r>
      <w:r w:rsidRPr="001F4572">
        <w:rPr>
          <w:rFonts w:ascii="Verdana" w:eastAsia="Arial" w:hAnsi="Verdana"/>
          <w:b/>
          <w:iCs/>
          <w:color w:val="000000" w:themeColor="text1"/>
          <w:sz w:val="20"/>
          <w:szCs w:val="20"/>
          <w:shd w:val="clear" w:color="auto" w:fill="FFFFFF"/>
        </w:rPr>
        <w:t>P</w:t>
      </w:r>
      <w:r w:rsidR="00002CEC" w:rsidRPr="001F4572">
        <w:rPr>
          <w:rFonts w:ascii="Verdana" w:eastAsia="Arial" w:hAnsi="Verdana"/>
          <w:b/>
          <w:iCs/>
          <w:color w:val="000000" w:themeColor="text1"/>
          <w:sz w:val="20"/>
          <w:szCs w:val="20"/>
          <w:shd w:val="clear" w:color="auto" w:fill="FFFFFF"/>
        </w:rPr>
        <w:t xml:space="preserve">rice </w:t>
      </w:r>
      <w:r w:rsidRPr="001F4572">
        <w:rPr>
          <w:rFonts w:ascii="Verdana" w:eastAsia="Arial" w:hAnsi="Verdana"/>
          <w:b/>
          <w:iCs/>
          <w:color w:val="000000" w:themeColor="text1"/>
          <w:sz w:val="20"/>
          <w:szCs w:val="20"/>
          <w:shd w:val="clear" w:color="auto" w:fill="FFFFFF"/>
        </w:rPr>
        <w:t>H</w:t>
      </w:r>
      <w:r w:rsidR="00002CEC" w:rsidRPr="001F4572">
        <w:rPr>
          <w:rFonts w:ascii="Verdana" w:eastAsia="Arial" w:hAnsi="Verdana"/>
          <w:b/>
          <w:iCs/>
          <w:color w:val="000000" w:themeColor="text1"/>
          <w:sz w:val="20"/>
          <w:szCs w:val="20"/>
          <w:shd w:val="clear" w:color="auto" w:fill="FFFFFF"/>
        </w:rPr>
        <w:t xml:space="preserve">ike of </w:t>
      </w:r>
      <w:r w:rsidRPr="001F4572">
        <w:rPr>
          <w:rFonts w:ascii="Verdana" w:eastAsia="Arial" w:hAnsi="Verdana"/>
          <w:b/>
          <w:iCs/>
          <w:color w:val="000000" w:themeColor="text1"/>
          <w:sz w:val="20"/>
          <w:szCs w:val="20"/>
          <w:shd w:val="clear" w:color="auto" w:fill="FFFFFF"/>
        </w:rPr>
        <w:t>P</w:t>
      </w:r>
      <w:r w:rsidR="00002CEC" w:rsidRPr="001F4572">
        <w:rPr>
          <w:rFonts w:ascii="Verdana" w:eastAsia="Arial" w:hAnsi="Verdana"/>
          <w:b/>
          <w:iCs/>
          <w:color w:val="000000" w:themeColor="text1"/>
          <w:sz w:val="20"/>
          <w:szCs w:val="20"/>
          <w:shd w:val="clear" w:color="auto" w:fill="FFFFFF"/>
        </w:rPr>
        <w:t>roducts</w:t>
      </w:r>
    </w:p>
    <w:p w14:paraId="53E580D9" w14:textId="77777777" w:rsidR="009148F9" w:rsidRPr="001F4572" w:rsidRDefault="00002CEC" w:rsidP="009148F9">
      <w:pPr>
        <w:shd w:val="clear" w:color="auto" w:fill="FFFFFF"/>
        <w:ind w:left="0" w:firstLine="720"/>
        <w:rPr>
          <w:rFonts w:ascii="Verdana" w:eastAsia="Arial" w:hAnsi="Verdana"/>
          <w:i/>
          <w:iCs/>
          <w:color w:val="000000" w:themeColor="text1"/>
          <w:sz w:val="20"/>
          <w:szCs w:val="20"/>
          <w:shd w:val="clear" w:color="auto" w:fill="FFFFFF"/>
        </w:rPr>
      </w:pPr>
      <w:r w:rsidRPr="001F4572">
        <w:rPr>
          <w:rFonts w:ascii="Verdana" w:eastAsia="Arial" w:hAnsi="Verdana"/>
          <w:color w:val="000000" w:themeColor="text1"/>
          <w:sz w:val="20"/>
          <w:szCs w:val="20"/>
          <w:shd w:val="clear" w:color="auto" w:fill="FFFFFF"/>
        </w:rPr>
        <w:t>On a query about,did your daily wages enhanced after price hike of products, cluster of the respondents were of the opinion that our daily wage is 1000 and there is no enhancement in wages with the rising prices. We suffer more than the past.</w:t>
      </w:r>
      <w:r w:rsidR="009148F9" w:rsidRPr="001F4572">
        <w:rPr>
          <w:rFonts w:ascii="Verdana" w:eastAsia="Arial" w:hAnsi="Verdana"/>
          <w:color w:val="000000" w:themeColor="text1"/>
          <w:sz w:val="20"/>
          <w:szCs w:val="20"/>
          <w:shd w:val="clear" w:color="auto" w:fill="FFFFFF"/>
        </w:rPr>
        <w:t xml:space="preserve"> </w:t>
      </w:r>
      <w:r w:rsidRPr="001F4572">
        <w:rPr>
          <w:rFonts w:ascii="Verdana" w:eastAsia="Arial" w:hAnsi="Verdana"/>
          <w:color w:val="000000" w:themeColor="text1"/>
          <w:sz w:val="20"/>
          <w:szCs w:val="20"/>
          <w:shd w:val="clear" w:color="auto" w:fill="FFFFFF"/>
        </w:rPr>
        <w:t>In response to the question about increment in wages of workers after price hike of products, One of the respondent expressed his views “</w:t>
      </w:r>
      <w:r w:rsidRPr="001F4572">
        <w:rPr>
          <w:rFonts w:ascii="Verdana" w:eastAsia="Arial" w:hAnsi="Verdana"/>
          <w:i/>
          <w:iCs/>
          <w:color w:val="000000" w:themeColor="text1"/>
          <w:sz w:val="20"/>
          <w:szCs w:val="20"/>
          <w:shd w:val="clear" w:color="auto" w:fill="FFFFFF"/>
        </w:rPr>
        <w:t>I am a labor and I am working on daily wages. Even we requested to raise our wages a bit</w:t>
      </w:r>
      <w:r w:rsidRPr="001F4572">
        <w:rPr>
          <w:rFonts w:ascii="Verdana" w:eastAsia="Arial" w:hAnsi="Verdana"/>
          <w:color w:val="000000" w:themeColor="text1"/>
          <w:sz w:val="20"/>
          <w:szCs w:val="20"/>
          <w:shd w:val="clear" w:color="auto" w:fill="FFFFFF"/>
        </w:rPr>
        <w:t xml:space="preserve"> more</w:t>
      </w:r>
      <w:r w:rsidRPr="001F4572">
        <w:rPr>
          <w:rFonts w:ascii="Verdana" w:eastAsia="Arial" w:hAnsi="Verdana"/>
          <w:i/>
          <w:iCs/>
          <w:color w:val="000000" w:themeColor="text1"/>
          <w:sz w:val="20"/>
          <w:szCs w:val="20"/>
          <w:shd w:val="clear" w:color="auto" w:fill="FFFFFF"/>
        </w:rPr>
        <w:t xml:space="preserve"> but our contractor denied very comfortably, no regrets to him”.</w:t>
      </w:r>
    </w:p>
    <w:p w14:paraId="055E3D20" w14:textId="77777777" w:rsidR="009148F9" w:rsidRPr="001F4572" w:rsidRDefault="009148F9" w:rsidP="009148F9">
      <w:pPr>
        <w:shd w:val="clear" w:color="auto" w:fill="FFFFFF"/>
        <w:ind w:left="0" w:firstLine="720"/>
        <w:rPr>
          <w:rFonts w:ascii="Verdana" w:eastAsia="Arial" w:hAnsi="Verdana"/>
          <w:i/>
          <w:iCs/>
          <w:color w:val="000000" w:themeColor="text1"/>
          <w:sz w:val="20"/>
          <w:szCs w:val="20"/>
          <w:shd w:val="clear" w:color="auto" w:fill="FFFFFF"/>
        </w:rPr>
      </w:pPr>
    </w:p>
    <w:p w14:paraId="22590F78" w14:textId="268CDF46" w:rsidR="00002CEC" w:rsidRPr="001F4572" w:rsidRDefault="00002CEC" w:rsidP="009148F9">
      <w:pPr>
        <w:shd w:val="clear" w:color="auto" w:fill="FFFFFF"/>
        <w:ind w:left="0" w:firstLine="720"/>
        <w:rPr>
          <w:rFonts w:ascii="Verdana" w:eastAsia="Arial" w:hAnsi="Verdana"/>
          <w:color w:val="000000" w:themeColor="text1"/>
          <w:sz w:val="20"/>
          <w:szCs w:val="20"/>
          <w:shd w:val="clear" w:color="auto" w:fill="FFFFFF"/>
        </w:rPr>
      </w:pPr>
      <w:r w:rsidRPr="001F4572">
        <w:rPr>
          <w:rFonts w:ascii="Verdana" w:hAnsi="Verdana"/>
          <w:color w:val="000000" w:themeColor="text1"/>
          <w:sz w:val="20"/>
          <w:szCs w:val="20"/>
          <w:shd w:val="clear" w:color="auto" w:fill="FFFFFF"/>
        </w:rPr>
        <w:t>Inflation has an impact on the worker class. Labor salaries are not being raised in the same way that product prices are. As a result, their real earnings are diminished along with their standard of living. It is apparent that, while rising prices have a direct impact on the purchasing power of the wage earner, they will not move up automatically because wages are essentially contractual and pre-determined, and many factors must be considered before a wage increase is considered; it is also not entirely correct to say that rising prices do not lead to an increase in wages.The effects of inflation on the economy are widely documented. It raises expenses, making it more expensive for individuals to purchase labor and goods. People will require more money to live the same manner since inflation reduces the worth of money. Inflation is a critical part of compensation increases that must be considered.</w:t>
      </w:r>
    </w:p>
    <w:p w14:paraId="09371CFC" w14:textId="77777777" w:rsidR="009148F9" w:rsidRPr="001F4572" w:rsidRDefault="009148F9" w:rsidP="00002CEC">
      <w:pPr>
        <w:tabs>
          <w:tab w:val="left" w:pos="2865"/>
        </w:tabs>
        <w:ind w:left="0" w:firstLine="0"/>
        <w:rPr>
          <w:rFonts w:ascii="Verdana" w:hAnsi="Verdana"/>
          <w:b/>
          <w:color w:val="000000" w:themeColor="text1"/>
          <w:sz w:val="20"/>
          <w:szCs w:val="20"/>
          <w:shd w:val="clear" w:color="auto" w:fill="FFFFFF"/>
        </w:rPr>
      </w:pPr>
    </w:p>
    <w:p w14:paraId="551A44AF" w14:textId="1D56A317" w:rsidR="009148F9" w:rsidRPr="001F4572" w:rsidRDefault="00002CEC" w:rsidP="009148F9">
      <w:pPr>
        <w:pStyle w:val="ListParagraph"/>
        <w:numPr>
          <w:ilvl w:val="1"/>
          <w:numId w:val="48"/>
        </w:numPr>
        <w:tabs>
          <w:tab w:val="left" w:pos="2865"/>
        </w:tabs>
        <w:rPr>
          <w:rFonts w:ascii="Verdana" w:hAnsi="Verdana"/>
          <w:b/>
          <w:color w:val="000000" w:themeColor="text1"/>
          <w:sz w:val="20"/>
          <w:szCs w:val="20"/>
          <w:shd w:val="clear" w:color="auto" w:fill="FFFFFF"/>
        </w:rPr>
      </w:pPr>
      <w:r w:rsidRPr="001F4572">
        <w:rPr>
          <w:rFonts w:ascii="Verdana" w:hAnsi="Verdana"/>
          <w:b/>
          <w:color w:val="000000" w:themeColor="text1"/>
          <w:sz w:val="20"/>
          <w:szCs w:val="20"/>
          <w:shd w:val="clear" w:color="auto" w:fill="FFFFFF"/>
        </w:rPr>
        <w:t xml:space="preserve">Rising </w:t>
      </w:r>
      <w:r w:rsidR="009148F9" w:rsidRPr="001F4572">
        <w:rPr>
          <w:rFonts w:ascii="Verdana" w:hAnsi="Verdana"/>
          <w:b/>
          <w:color w:val="000000" w:themeColor="text1"/>
          <w:sz w:val="20"/>
          <w:szCs w:val="20"/>
          <w:shd w:val="clear" w:color="auto" w:fill="FFFFFF"/>
        </w:rPr>
        <w:t>I</w:t>
      </w:r>
      <w:r w:rsidRPr="001F4572">
        <w:rPr>
          <w:rFonts w:ascii="Verdana" w:hAnsi="Verdana"/>
          <w:b/>
          <w:color w:val="000000" w:themeColor="text1"/>
          <w:sz w:val="20"/>
          <w:szCs w:val="20"/>
          <w:shd w:val="clear" w:color="auto" w:fill="FFFFFF"/>
        </w:rPr>
        <w:t xml:space="preserve">nflation, </w:t>
      </w:r>
      <w:r w:rsidR="009148F9" w:rsidRPr="001F4572">
        <w:rPr>
          <w:rFonts w:ascii="Verdana" w:hAnsi="Verdana"/>
          <w:b/>
          <w:color w:val="000000" w:themeColor="text1"/>
          <w:sz w:val="20"/>
          <w:szCs w:val="20"/>
          <w:shd w:val="clear" w:color="auto" w:fill="FFFFFF"/>
        </w:rPr>
        <w:t>F</w:t>
      </w:r>
      <w:r w:rsidRPr="001F4572">
        <w:rPr>
          <w:rFonts w:ascii="Verdana" w:hAnsi="Verdana"/>
          <w:b/>
          <w:color w:val="000000" w:themeColor="text1"/>
          <w:sz w:val="20"/>
          <w:szCs w:val="20"/>
          <w:shd w:val="clear" w:color="auto" w:fill="FFFFFF"/>
        </w:rPr>
        <w:t xml:space="preserve">alling </w:t>
      </w:r>
      <w:r w:rsidR="009148F9" w:rsidRPr="001F4572">
        <w:rPr>
          <w:rFonts w:ascii="Verdana" w:hAnsi="Verdana"/>
          <w:b/>
          <w:color w:val="000000" w:themeColor="text1"/>
          <w:sz w:val="20"/>
          <w:szCs w:val="20"/>
          <w:shd w:val="clear" w:color="auto" w:fill="FFFFFF"/>
        </w:rPr>
        <w:t>W</w:t>
      </w:r>
      <w:r w:rsidRPr="001F4572">
        <w:rPr>
          <w:rFonts w:ascii="Verdana" w:hAnsi="Verdana"/>
          <w:b/>
          <w:color w:val="000000" w:themeColor="text1"/>
          <w:sz w:val="20"/>
          <w:szCs w:val="20"/>
          <w:shd w:val="clear" w:color="auto" w:fill="FFFFFF"/>
        </w:rPr>
        <w:t xml:space="preserve">ages threaten increased </w:t>
      </w:r>
      <w:r w:rsidR="009148F9" w:rsidRPr="001F4572">
        <w:rPr>
          <w:rFonts w:ascii="Verdana" w:hAnsi="Verdana"/>
          <w:b/>
          <w:color w:val="000000" w:themeColor="text1"/>
          <w:sz w:val="20"/>
          <w:szCs w:val="20"/>
          <w:shd w:val="clear" w:color="auto" w:fill="FFFFFF"/>
        </w:rPr>
        <w:t>P</w:t>
      </w:r>
      <w:r w:rsidRPr="001F4572">
        <w:rPr>
          <w:rFonts w:ascii="Verdana" w:hAnsi="Verdana"/>
          <w:b/>
          <w:color w:val="000000" w:themeColor="text1"/>
          <w:sz w:val="20"/>
          <w:szCs w:val="20"/>
          <w:shd w:val="clear" w:color="auto" w:fill="FFFFFF"/>
        </w:rPr>
        <w:t xml:space="preserve">overty and </w:t>
      </w:r>
      <w:r w:rsidR="009148F9" w:rsidRPr="001F4572">
        <w:rPr>
          <w:rFonts w:ascii="Verdana" w:hAnsi="Verdana"/>
          <w:b/>
          <w:color w:val="000000" w:themeColor="text1"/>
          <w:sz w:val="20"/>
          <w:szCs w:val="20"/>
          <w:shd w:val="clear" w:color="auto" w:fill="FFFFFF"/>
        </w:rPr>
        <w:t>U</w:t>
      </w:r>
      <w:r w:rsidRPr="001F4572">
        <w:rPr>
          <w:rFonts w:ascii="Verdana" w:hAnsi="Verdana"/>
          <w:b/>
          <w:color w:val="000000" w:themeColor="text1"/>
          <w:sz w:val="20"/>
          <w:szCs w:val="20"/>
          <w:shd w:val="clear" w:color="auto" w:fill="FFFFFF"/>
        </w:rPr>
        <w:t>nrest</w:t>
      </w:r>
    </w:p>
    <w:p w14:paraId="09F16C23" w14:textId="77777777" w:rsidR="009148F9" w:rsidRPr="001F4572" w:rsidRDefault="00002CEC" w:rsidP="009148F9">
      <w:pPr>
        <w:tabs>
          <w:tab w:val="left" w:pos="2865"/>
        </w:tabs>
        <w:ind w:left="0" w:firstLine="720"/>
        <w:rPr>
          <w:rFonts w:ascii="Verdana" w:hAnsi="Verdana"/>
          <w:b/>
          <w:color w:val="000000" w:themeColor="text1"/>
          <w:sz w:val="20"/>
          <w:szCs w:val="20"/>
          <w:shd w:val="clear" w:color="auto" w:fill="FFFFFF"/>
        </w:rPr>
      </w:pPr>
      <w:r w:rsidRPr="001F4572">
        <w:rPr>
          <w:rFonts w:ascii="Verdana" w:hAnsi="Verdana"/>
          <w:color w:val="000000" w:themeColor="text1"/>
          <w:sz w:val="20"/>
          <w:szCs w:val="20"/>
          <w:shd w:val="clear" w:color="auto" w:fill="FFFFFF"/>
        </w:rPr>
        <w:t>In response to the question, did rising inflation, falling wages threaten increased poverty and unrest, one of the respondent told that “</w:t>
      </w:r>
      <w:r w:rsidRPr="001F4572">
        <w:rPr>
          <w:rFonts w:ascii="Verdana" w:hAnsi="Verdana"/>
          <w:i/>
          <w:color w:val="000000" w:themeColor="text1"/>
          <w:sz w:val="20"/>
          <w:szCs w:val="20"/>
          <w:shd w:val="clear" w:color="auto" w:fill="FFFFFF"/>
        </w:rPr>
        <w:t>most of the time I have no money in my wallet and it is the main reason of my anger and conflict at home”.</w:t>
      </w:r>
      <w:r w:rsidRPr="001F4572">
        <w:rPr>
          <w:rFonts w:ascii="Verdana" w:hAnsi="Verdana"/>
          <w:color w:val="000000" w:themeColor="text1"/>
          <w:sz w:val="20"/>
          <w:szCs w:val="20"/>
          <w:shd w:val="clear" w:color="auto" w:fill="FFFFFF"/>
        </w:rPr>
        <w:t> </w:t>
      </w:r>
      <w:r w:rsidR="009148F9" w:rsidRPr="001F4572">
        <w:rPr>
          <w:rFonts w:ascii="Verdana" w:hAnsi="Verdana"/>
          <w:b/>
          <w:color w:val="000000" w:themeColor="text1"/>
          <w:sz w:val="20"/>
          <w:szCs w:val="20"/>
          <w:shd w:val="clear" w:color="auto" w:fill="FFFFFF"/>
        </w:rPr>
        <w:t xml:space="preserve"> </w:t>
      </w:r>
      <w:r w:rsidRPr="001F4572">
        <w:rPr>
          <w:rFonts w:ascii="Verdana" w:hAnsi="Verdana"/>
          <w:color w:val="000000" w:themeColor="text1"/>
          <w:sz w:val="20"/>
          <w:szCs w:val="20"/>
        </w:rPr>
        <w:t xml:space="preserve">Another respondent expressed his </w:t>
      </w:r>
      <w:r w:rsidRPr="001F4572">
        <w:rPr>
          <w:rFonts w:ascii="Verdana" w:hAnsi="Verdana"/>
          <w:color w:val="000000" w:themeColor="text1"/>
          <w:sz w:val="20"/>
          <w:szCs w:val="20"/>
        </w:rPr>
        <w:lastRenderedPageBreak/>
        <w:t>views and shared "</w:t>
      </w:r>
      <w:r w:rsidRPr="001F4572">
        <w:rPr>
          <w:rFonts w:ascii="Verdana" w:hAnsi="Verdana"/>
          <w:i/>
          <w:color w:val="000000" w:themeColor="text1"/>
          <w:sz w:val="20"/>
          <w:szCs w:val="20"/>
        </w:rPr>
        <w:t>we were not so weak financially earlier but after sudden inflation my life becomes more tough and poor. Getting restless and feeling depressed all time".</w:t>
      </w:r>
    </w:p>
    <w:p w14:paraId="375C3BAB" w14:textId="77777777" w:rsidR="009148F9" w:rsidRPr="001F4572" w:rsidRDefault="009148F9" w:rsidP="009148F9">
      <w:pPr>
        <w:tabs>
          <w:tab w:val="left" w:pos="2865"/>
        </w:tabs>
        <w:ind w:left="0" w:firstLine="720"/>
        <w:rPr>
          <w:rFonts w:ascii="Verdana" w:hAnsi="Verdana"/>
          <w:b/>
          <w:color w:val="000000" w:themeColor="text1"/>
          <w:sz w:val="20"/>
          <w:szCs w:val="20"/>
          <w:shd w:val="clear" w:color="auto" w:fill="FFFFFF"/>
        </w:rPr>
      </w:pPr>
    </w:p>
    <w:p w14:paraId="43643A82" w14:textId="0DCE1DDC" w:rsidR="00002CEC" w:rsidRPr="001F4572" w:rsidRDefault="00002CEC" w:rsidP="009148F9">
      <w:pPr>
        <w:tabs>
          <w:tab w:val="left" w:pos="2865"/>
        </w:tabs>
        <w:ind w:left="0" w:firstLine="720"/>
        <w:rPr>
          <w:rFonts w:ascii="Verdana" w:hAnsi="Verdana"/>
          <w:b/>
          <w:color w:val="000000" w:themeColor="text1"/>
          <w:sz w:val="20"/>
          <w:szCs w:val="20"/>
          <w:shd w:val="clear" w:color="auto" w:fill="FFFFFF"/>
        </w:rPr>
      </w:pPr>
      <w:r w:rsidRPr="001F4572">
        <w:rPr>
          <w:rFonts w:ascii="Verdana" w:hAnsi="Verdana"/>
          <w:color w:val="000000" w:themeColor="text1"/>
          <w:sz w:val="20"/>
          <w:szCs w:val="20"/>
        </w:rPr>
        <w:t>Another respondent shared his views,</w:t>
      </w:r>
      <w:r w:rsidRPr="001F4572">
        <w:rPr>
          <w:rFonts w:ascii="Verdana" w:hAnsi="Verdana"/>
          <w:color w:val="000000" w:themeColor="text1"/>
          <w:sz w:val="20"/>
          <w:szCs w:val="20"/>
          <w:shd w:val="clear" w:color="auto" w:fill="FFFFFF"/>
        </w:rPr>
        <w:t xml:space="preserve"> </w:t>
      </w:r>
      <w:r w:rsidRPr="001F4572">
        <w:rPr>
          <w:rFonts w:ascii="Verdana" w:hAnsi="Verdana"/>
          <w:i/>
          <w:color w:val="000000" w:themeColor="text1"/>
          <w:sz w:val="20"/>
          <w:szCs w:val="20"/>
          <w:shd w:val="clear" w:color="auto" w:fill="FFFFFF"/>
        </w:rPr>
        <w:t>“</w:t>
      </w:r>
      <w:r w:rsidRPr="001F4572">
        <w:rPr>
          <w:rFonts w:ascii="Verdana" w:hAnsi="Verdana"/>
          <w:i/>
          <w:color w:val="000000" w:themeColor="text1"/>
          <w:sz w:val="20"/>
          <w:szCs w:val="20"/>
        </w:rPr>
        <w:t>I am getting an aggressive person day by day because I am unable to solve my basic problems of life inflation must be control otherwise a big storm of illegal action robberies murders unnecessary fights suicide in much more waiting for us”.</w:t>
      </w:r>
    </w:p>
    <w:p w14:paraId="2BE65543" w14:textId="77777777" w:rsidR="009148F9" w:rsidRPr="001F4572" w:rsidRDefault="009148F9" w:rsidP="00002CEC">
      <w:pPr>
        <w:shd w:val="clear" w:color="auto" w:fill="FFFFFF"/>
        <w:tabs>
          <w:tab w:val="left" w:pos="2775"/>
        </w:tabs>
        <w:ind w:left="0" w:firstLine="0"/>
        <w:rPr>
          <w:rFonts w:ascii="Verdana" w:hAnsi="Verdana"/>
          <w:color w:val="000000" w:themeColor="text1"/>
          <w:sz w:val="20"/>
          <w:szCs w:val="20"/>
        </w:rPr>
      </w:pPr>
    </w:p>
    <w:p w14:paraId="71B8FFCB" w14:textId="780231C6" w:rsidR="00002CEC" w:rsidRPr="001F4572" w:rsidRDefault="00002CEC" w:rsidP="009148F9">
      <w:pPr>
        <w:pStyle w:val="ListParagraph"/>
        <w:numPr>
          <w:ilvl w:val="1"/>
          <w:numId w:val="48"/>
        </w:numPr>
        <w:shd w:val="clear" w:color="auto" w:fill="FFFFFF"/>
        <w:tabs>
          <w:tab w:val="left" w:pos="2775"/>
        </w:tabs>
        <w:rPr>
          <w:rFonts w:ascii="Verdana" w:hAnsi="Verdana"/>
          <w:b/>
          <w:color w:val="000000" w:themeColor="text1"/>
          <w:sz w:val="20"/>
          <w:szCs w:val="20"/>
        </w:rPr>
      </w:pPr>
      <w:r w:rsidRPr="001F4572">
        <w:rPr>
          <w:rFonts w:ascii="Verdana" w:hAnsi="Verdana"/>
          <w:b/>
          <w:color w:val="000000" w:themeColor="text1"/>
          <w:sz w:val="20"/>
          <w:szCs w:val="20"/>
        </w:rPr>
        <w:t xml:space="preserve">Price </w:t>
      </w:r>
      <w:r w:rsidR="009148F9" w:rsidRPr="001F4572">
        <w:rPr>
          <w:rFonts w:ascii="Verdana" w:hAnsi="Verdana"/>
          <w:b/>
          <w:color w:val="000000" w:themeColor="text1"/>
          <w:sz w:val="20"/>
          <w:szCs w:val="20"/>
        </w:rPr>
        <w:t>H</w:t>
      </w:r>
      <w:r w:rsidRPr="001F4572">
        <w:rPr>
          <w:rFonts w:ascii="Verdana" w:hAnsi="Verdana"/>
          <w:b/>
          <w:color w:val="000000" w:themeColor="text1"/>
          <w:sz w:val="20"/>
          <w:szCs w:val="20"/>
        </w:rPr>
        <w:t xml:space="preserve">ike bothered the </w:t>
      </w:r>
      <w:r w:rsidR="009148F9" w:rsidRPr="001F4572">
        <w:rPr>
          <w:rFonts w:ascii="Verdana" w:hAnsi="Verdana"/>
          <w:b/>
          <w:color w:val="000000" w:themeColor="text1"/>
          <w:sz w:val="20"/>
          <w:szCs w:val="20"/>
        </w:rPr>
        <w:t>S</w:t>
      </w:r>
      <w:r w:rsidRPr="001F4572">
        <w:rPr>
          <w:rFonts w:ascii="Verdana" w:hAnsi="Verdana"/>
          <w:b/>
          <w:color w:val="000000" w:themeColor="text1"/>
          <w:sz w:val="20"/>
          <w:szCs w:val="20"/>
        </w:rPr>
        <w:t xml:space="preserve">ocial </w:t>
      </w:r>
      <w:r w:rsidR="009148F9" w:rsidRPr="001F4572">
        <w:rPr>
          <w:rFonts w:ascii="Verdana" w:hAnsi="Verdana"/>
          <w:b/>
          <w:color w:val="000000" w:themeColor="text1"/>
          <w:sz w:val="20"/>
          <w:szCs w:val="20"/>
        </w:rPr>
        <w:t>L</w:t>
      </w:r>
      <w:r w:rsidRPr="001F4572">
        <w:rPr>
          <w:rFonts w:ascii="Verdana" w:hAnsi="Verdana"/>
          <w:b/>
          <w:color w:val="000000" w:themeColor="text1"/>
          <w:sz w:val="20"/>
          <w:szCs w:val="20"/>
        </w:rPr>
        <w:t>ife</w:t>
      </w:r>
    </w:p>
    <w:p w14:paraId="776EFAE4" w14:textId="77777777" w:rsidR="009148F9" w:rsidRPr="001F4572" w:rsidRDefault="00002CEC" w:rsidP="009148F9">
      <w:pPr>
        <w:shd w:val="clear" w:color="auto" w:fill="FFFFFF"/>
        <w:ind w:left="0" w:firstLine="720"/>
        <w:rPr>
          <w:rFonts w:ascii="Verdana" w:hAnsi="Verdana"/>
          <w:i/>
          <w:color w:val="000000" w:themeColor="text1"/>
          <w:sz w:val="20"/>
          <w:szCs w:val="20"/>
        </w:rPr>
      </w:pPr>
      <w:r w:rsidRPr="001F4572">
        <w:rPr>
          <w:rFonts w:ascii="Verdana" w:hAnsi="Verdana"/>
          <w:color w:val="000000" w:themeColor="text1"/>
          <w:sz w:val="20"/>
          <w:szCs w:val="20"/>
        </w:rPr>
        <w:t xml:space="preserve">In response to the question, did price hike bothered you are social life? One of the respondents expressed that </w:t>
      </w:r>
      <w:r w:rsidRPr="001F4572">
        <w:rPr>
          <w:rFonts w:ascii="Verdana" w:hAnsi="Verdana"/>
          <w:i/>
          <w:color w:val="000000" w:themeColor="text1"/>
          <w:sz w:val="20"/>
          <w:szCs w:val="20"/>
        </w:rPr>
        <w:t>"poor person has no social life his purpose of life is to struggle to survive and in current situation as inflation is on peak we have no social life and we have no get together any outings".</w:t>
      </w:r>
    </w:p>
    <w:p w14:paraId="34A90047" w14:textId="77777777" w:rsidR="009148F9" w:rsidRPr="001F4572" w:rsidRDefault="009148F9" w:rsidP="009148F9">
      <w:pPr>
        <w:shd w:val="clear" w:color="auto" w:fill="FFFFFF"/>
        <w:ind w:left="0" w:firstLine="720"/>
        <w:rPr>
          <w:rFonts w:ascii="Verdana" w:hAnsi="Verdana"/>
          <w:i/>
          <w:color w:val="000000" w:themeColor="text1"/>
          <w:sz w:val="20"/>
          <w:szCs w:val="20"/>
        </w:rPr>
      </w:pPr>
    </w:p>
    <w:p w14:paraId="2595AF30" w14:textId="77777777" w:rsidR="009148F9" w:rsidRPr="001F4572" w:rsidRDefault="00002CEC" w:rsidP="009148F9">
      <w:pPr>
        <w:shd w:val="clear" w:color="auto" w:fill="FFFFFF"/>
        <w:ind w:left="0" w:firstLine="720"/>
        <w:rPr>
          <w:rFonts w:ascii="Verdana" w:hAnsi="Verdana"/>
          <w:i/>
          <w:color w:val="000000" w:themeColor="text1"/>
          <w:sz w:val="20"/>
          <w:szCs w:val="20"/>
        </w:rPr>
      </w:pPr>
      <w:r w:rsidRPr="001F4572">
        <w:rPr>
          <w:rFonts w:ascii="Verdana" w:hAnsi="Verdana"/>
          <w:color w:val="000000" w:themeColor="text1"/>
          <w:sz w:val="20"/>
          <w:szCs w:val="20"/>
          <w:shd w:val="clear" w:color="auto" w:fill="FFFFFF"/>
        </w:rPr>
        <w:t>When the respondent was asked whether their social life has been affected due to the increase in prices, the cluster of the respondent said that we have restricted our lives due to inflation. It has become difficult for us to provide two meals a day for ourselves. We cannot even afford guests.</w:t>
      </w:r>
    </w:p>
    <w:p w14:paraId="00284211" w14:textId="77777777" w:rsidR="009148F9" w:rsidRPr="001F4572" w:rsidRDefault="009148F9" w:rsidP="009148F9">
      <w:pPr>
        <w:shd w:val="clear" w:color="auto" w:fill="FFFFFF"/>
        <w:ind w:left="0" w:firstLine="720"/>
        <w:rPr>
          <w:rFonts w:ascii="Verdana" w:hAnsi="Verdana"/>
          <w:i/>
          <w:color w:val="000000" w:themeColor="text1"/>
          <w:sz w:val="20"/>
          <w:szCs w:val="20"/>
        </w:rPr>
      </w:pPr>
    </w:p>
    <w:p w14:paraId="44F30E47" w14:textId="7A6E9A74" w:rsidR="00002CEC" w:rsidRPr="001F4572" w:rsidRDefault="00002CEC" w:rsidP="009148F9">
      <w:pPr>
        <w:shd w:val="clear" w:color="auto" w:fill="FFFFFF"/>
        <w:ind w:left="0" w:firstLine="720"/>
        <w:rPr>
          <w:rFonts w:ascii="Verdana" w:hAnsi="Verdana"/>
          <w:i/>
          <w:color w:val="000000" w:themeColor="text1"/>
          <w:sz w:val="20"/>
          <w:szCs w:val="20"/>
        </w:rPr>
      </w:pPr>
      <w:r w:rsidRPr="001F4572">
        <w:rPr>
          <w:rFonts w:ascii="Verdana" w:hAnsi="Verdana"/>
          <w:color w:val="000000" w:themeColor="text1"/>
          <w:sz w:val="20"/>
          <w:szCs w:val="20"/>
          <w:shd w:val="clear" w:color="auto" w:fill="FFFFFF"/>
        </w:rPr>
        <w:t xml:space="preserve">Inflation exacerbates the poverty situation. Paying extra for vital products like petrol and food may be catastrophic for those in low-income homes who are already struggling. Inflation also reduces the actual minimum wage across the world, lowering the value of the minimum wage and lowering the standard of life for those who rely on it. Inflation and price increases have harmed everyone. High costs for everything have made it extremely difficult for the impoverished to live and feed their families.                                         </w:t>
      </w:r>
    </w:p>
    <w:p w14:paraId="265783E1" w14:textId="77777777" w:rsidR="009148F9" w:rsidRPr="001F4572" w:rsidRDefault="00002CEC" w:rsidP="00002CEC">
      <w:pPr>
        <w:ind w:left="0" w:firstLine="0"/>
        <w:rPr>
          <w:rFonts w:ascii="Verdana" w:hAnsi="Verdana"/>
          <w:b/>
          <w:color w:val="000000" w:themeColor="text1"/>
          <w:sz w:val="20"/>
          <w:szCs w:val="20"/>
          <w:shd w:val="clear" w:color="auto" w:fill="FFFFFF"/>
        </w:rPr>
      </w:pPr>
      <w:r w:rsidRPr="001F4572">
        <w:rPr>
          <w:rFonts w:ascii="Verdana" w:hAnsi="Verdana"/>
          <w:b/>
          <w:color w:val="000000" w:themeColor="text1"/>
          <w:sz w:val="20"/>
          <w:szCs w:val="20"/>
          <w:shd w:val="clear" w:color="auto" w:fill="FFFFFF"/>
        </w:rPr>
        <w:t xml:space="preserve"> </w:t>
      </w:r>
    </w:p>
    <w:p w14:paraId="793A00C9" w14:textId="50271D62" w:rsidR="00002CEC" w:rsidRPr="001F4572" w:rsidRDefault="009148F9" w:rsidP="009148F9">
      <w:pPr>
        <w:pStyle w:val="ListParagraph"/>
        <w:numPr>
          <w:ilvl w:val="0"/>
          <w:numId w:val="48"/>
        </w:numPr>
        <w:ind w:left="720" w:hanging="720"/>
        <w:rPr>
          <w:rFonts w:ascii="Verdana" w:hAnsi="Verdana"/>
          <w:b/>
          <w:color w:val="000000" w:themeColor="text1"/>
          <w:sz w:val="22"/>
          <w:szCs w:val="22"/>
          <w:shd w:val="clear" w:color="auto" w:fill="FFFFFF"/>
        </w:rPr>
      </w:pPr>
      <w:r w:rsidRPr="001F4572">
        <w:rPr>
          <w:rFonts w:ascii="Verdana" w:hAnsi="Verdana"/>
          <w:b/>
          <w:color w:val="000000" w:themeColor="text1"/>
          <w:sz w:val="22"/>
          <w:szCs w:val="22"/>
          <w:shd w:val="clear" w:color="auto" w:fill="FFFFFF"/>
        </w:rPr>
        <w:t>Conclusion</w:t>
      </w:r>
    </w:p>
    <w:p w14:paraId="413D06F2" w14:textId="77777777" w:rsidR="00002CEC" w:rsidRPr="001F4572" w:rsidRDefault="00002CEC" w:rsidP="009148F9">
      <w:pPr>
        <w:ind w:left="0" w:firstLine="720"/>
        <w:rPr>
          <w:rFonts w:ascii="Verdana" w:hAnsi="Verdana"/>
          <w:color w:val="000000" w:themeColor="text1"/>
          <w:sz w:val="20"/>
          <w:szCs w:val="20"/>
        </w:rPr>
      </w:pPr>
      <w:r w:rsidRPr="001F4572">
        <w:rPr>
          <w:rFonts w:ascii="Verdana" w:hAnsi="Verdana"/>
          <w:color w:val="000000" w:themeColor="text1"/>
          <w:sz w:val="20"/>
          <w:szCs w:val="20"/>
        </w:rPr>
        <w:t>The influence of inflation on the daily wage working class is a complex and challenging problem. Inflation erodes their salaries' buying value, making it more difficult for them to make ends meet and maintain their standards of living. As prices for essential goods and services rise, daily wage workers find it increasingly difficult to meet their basic needs. Food, housing, education, healthcare, and transportation expenses have all increased. Workers' earnings are not stretching as far as they used to as the prices of products and services grow. As a result, people are compelled to make difficult decisions and compromises in their spending habits. Due to inflation daily wage workers have become victims of psychological problems, they have become patients of anxiety and depression. They now show aggressive behavior compared to the past. When they are unable to fulfill even the basic needs of the home in such a situation conflicts and fights arise in the home. It has become very difficult for daily daily wage workers to meet the expenses of children's education. Many participants shifted their children from private schools to government schools. In this painful situation of inflation, people are suffering from anxiety, if this situation continues, then people will be forced to move towards illegal actions. For daily wage laborers, inflation is a horrible reality that forces them to constantly fight to make ends meet. Social injustices are caused by the quiet depletion of their purchasing power, which also exacerbates economic inequality. Governments, companies, and society at large must acknowledge the significance of addressing the particular difficulties encountered by the working class who earn a daily income and take action to lessen the impact of inflation on their lives as we navigate an ever-changing economic landscape. Then and only then will we be able to strive toward a just and inclusive society where everyone can thrive.</w:t>
      </w:r>
    </w:p>
    <w:p w14:paraId="75F45CF7" w14:textId="77777777" w:rsidR="009148F9" w:rsidRPr="001F4572" w:rsidRDefault="009148F9" w:rsidP="00002CEC">
      <w:pPr>
        <w:pStyle w:val="NormalWeb"/>
        <w:shd w:val="clear" w:color="auto" w:fill="FFFFFF"/>
        <w:spacing w:before="0" w:beforeAutospacing="0" w:after="0" w:afterAutospacing="0"/>
        <w:ind w:left="0" w:firstLine="0"/>
        <w:textAlignment w:val="baseline"/>
        <w:rPr>
          <w:rFonts w:ascii="Verdana" w:hAnsi="Verdana"/>
          <w:b/>
          <w:color w:val="000000" w:themeColor="text1"/>
          <w:sz w:val="20"/>
          <w:szCs w:val="20"/>
        </w:rPr>
      </w:pPr>
    </w:p>
    <w:p w14:paraId="5D40495B" w14:textId="22A25482" w:rsidR="00002CEC" w:rsidRPr="001F4572" w:rsidRDefault="00002CEC" w:rsidP="009148F9">
      <w:pPr>
        <w:pStyle w:val="NormalWeb"/>
        <w:numPr>
          <w:ilvl w:val="1"/>
          <w:numId w:val="48"/>
        </w:numPr>
        <w:shd w:val="clear" w:color="auto" w:fill="FFFFFF"/>
        <w:spacing w:before="0" w:beforeAutospacing="0" w:after="0" w:afterAutospacing="0"/>
        <w:textAlignment w:val="baseline"/>
        <w:rPr>
          <w:rFonts w:ascii="Verdana" w:hAnsi="Verdana"/>
          <w:b/>
          <w:color w:val="000000" w:themeColor="text1"/>
          <w:sz w:val="20"/>
          <w:szCs w:val="20"/>
        </w:rPr>
      </w:pPr>
      <w:r w:rsidRPr="001F4572">
        <w:rPr>
          <w:rFonts w:ascii="Verdana" w:hAnsi="Verdana"/>
          <w:b/>
          <w:color w:val="000000" w:themeColor="text1"/>
          <w:sz w:val="20"/>
          <w:szCs w:val="20"/>
        </w:rPr>
        <w:t>Recommendations</w:t>
      </w:r>
    </w:p>
    <w:p w14:paraId="7AB996EE" w14:textId="77777777" w:rsidR="009148F9" w:rsidRPr="001F4572" w:rsidRDefault="00002CEC" w:rsidP="009148F9">
      <w:pPr>
        <w:pStyle w:val="NormalWeb"/>
        <w:numPr>
          <w:ilvl w:val="0"/>
          <w:numId w:val="49"/>
        </w:numPr>
        <w:shd w:val="clear" w:color="auto" w:fill="FFFFFF"/>
        <w:spacing w:before="0" w:beforeAutospacing="0" w:after="0" w:afterAutospacing="0"/>
        <w:textAlignment w:val="baseline"/>
        <w:rPr>
          <w:rFonts w:ascii="Verdana" w:hAnsi="Verdana"/>
          <w:color w:val="000000" w:themeColor="text1"/>
          <w:sz w:val="20"/>
          <w:szCs w:val="20"/>
        </w:rPr>
      </w:pPr>
      <w:r w:rsidRPr="001F4572">
        <w:rPr>
          <w:rFonts w:ascii="Verdana" w:hAnsi="Verdana"/>
          <w:color w:val="000000" w:themeColor="text1"/>
          <w:sz w:val="20"/>
          <w:szCs w:val="20"/>
        </w:rPr>
        <w:t>To make sure that daily wage workers receive fair remuneration and to keep up with inflation, governments have the authority to regularly modify the minimum wage.</w:t>
      </w:r>
    </w:p>
    <w:p w14:paraId="02E820DD" w14:textId="77777777" w:rsidR="009148F9" w:rsidRPr="001F4572" w:rsidRDefault="00002CEC" w:rsidP="009148F9">
      <w:pPr>
        <w:pStyle w:val="NormalWeb"/>
        <w:numPr>
          <w:ilvl w:val="0"/>
          <w:numId w:val="49"/>
        </w:numPr>
        <w:shd w:val="clear" w:color="auto" w:fill="FFFFFF"/>
        <w:spacing w:before="0" w:beforeAutospacing="0" w:after="0" w:afterAutospacing="0"/>
        <w:textAlignment w:val="baseline"/>
        <w:rPr>
          <w:rFonts w:ascii="Verdana" w:hAnsi="Verdana"/>
          <w:color w:val="000000" w:themeColor="text1"/>
          <w:sz w:val="20"/>
          <w:szCs w:val="20"/>
        </w:rPr>
      </w:pPr>
      <w:r w:rsidRPr="001F4572">
        <w:rPr>
          <w:rFonts w:ascii="Verdana" w:hAnsi="Verdana"/>
          <w:color w:val="000000" w:themeColor="text1"/>
          <w:sz w:val="20"/>
          <w:szCs w:val="20"/>
        </w:rPr>
        <w:t>Policymakers should take into account steps like changing the minimum wage or putting in place focused social assistance programs to help this vulnerable population segment deal with growing costs in order to lessen the impact.</w:t>
      </w:r>
    </w:p>
    <w:p w14:paraId="10087BA7" w14:textId="77777777" w:rsidR="009148F9" w:rsidRPr="001F4572" w:rsidRDefault="00002CEC" w:rsidP="009148F9">
      <w:pPr>
        <w:pStyle w:val="NormalWeb"/>
        <w:numPr>
          <w:ilvl w:val="0"/>
          <w:numId w:val="49"/>
        </w:numPr>
        <w:shd w:val="clear" w:color="auto" w:fill="FFFFFF"/>
        <w:spacing w:before="0" w:beforeAutospacing="0" w:after="0" w:afterAutospacing="0"/>
        <w:textAlignment w:val="baseline"/>
        <w:rPr>
          <w:rFonts w:ascii="Verdana" w:hAnsi="Verdana"/>
          <w:color w:val="000000" w:themeColor="text1"/>
          <w:sz w:val="20"/>
          <w:szCs w:val="20"/>
        </w:rPr>
      </w:pPr>
      <w:r w:rsidRPr="001F4572">
        <w:rPr>
          <w:rFonts w:ascii="Verdana" w:hAnsi="Verdana"/>
          <w:color w:val="000000" w:themeColor="text1"/>
          <w:sz w:val="20"/>
          <w:szCs w:val="20"/>
        </w:rPr>
        <w:t>Furthermore, it is imperative that individuals participate in financial planning and budgeting in order to properly handle the hurdles presented by inflation.</w:t>
      </w:r>
    </w:p>
    <w:p w14:paraId="1A9D032E" w14:textId="77777777" w:rsidR="009148F9" w:rsidRDefault="009148F9" w:rsidP="00EC63E7">
      <w:pPr>
        <w:pStyle w:val="NormalWeb"/>
        <w:shd w:val="clear" w:color="auto" w:fill="FFFFFF"/>
        <w:spacing w:before="0" w:beforeAutospacing="0" w:after="0" w:afterAutospacing="0"/>
        <w:ind w:left="0" w:firstLine="0"/>
        <w:textAlignment w:val="baseline"/>
        <w:rPr>
          <w:rFonts w:ascii="Verdana" w:hAnsi="Verdana"/>
          <w:color w:val="000000" w:themeColor="text1"/>
          <w:sz w:val="20"/>
          <w:szCs w:val="20"/>
        </w:rPr>
      </w:pPr>
    </w:p>
    <w:p w14:paraId="0AC03A37" w14:textId="77777777" w:rsidR="007213B2" w:rsidRDefault="007213B2" w:rsidP="00EC63E7">
      <w:pPr>
        <w:pStyle w:val="NormalWeb"/>
        <w:shd w:val="clear" w:color="auto" w:fill="FFFFFF"/>
        <w:spacing w:before="0" w:beforeAutospacing="0" w:after="0" w:afterAutospacing="0"/>
        <w:ind w:left="0" w:firstLine="0"/>
        <w:textAlignment w:val="baseline"/>
        <w:rPr>
          <w:rFonts w:ascii="Verdana" w:hAnsi="Verdana"/>
          <w:color w:val="000000" w:themeColor="text1"/>
          <w:sz w:val="20"/>
          <w:szCs w:val="20"/>
        </w:rPr>
      </w:pPr>
    </w:p>
    <w:p w14:paraId="30F73D64" w14:textId="77777777" w:rsidR="007213B2" w:rsidRDefault="007213B2" w:rsidP="00EC63E7">
      <w:pPr>
        <w:pStyle w:val="NormalWeb"/>
        <w:shd w:val="clear" w:color="auto" w:fill="FFFFFF"/>
        <w:spacing w:before="0" w:beforeAutospacing="0" w:after="0" w:afterAutospacing="0"/>
        <w:ind w:left="0" w:firstLine="0"/>
        <w:textAlignment w:val="baseline"/>
        <w:rPr>
          <w:rFonts w:ascii="Verdana" w:hAnsi="Verdana"/>
          <w:color w:val="000000" w:themeColor="text1"/>
          <w:sz w:val="20"/>
          <w:szCs w:val="20"/>
        </w:rPr>
      </w:pPr>
    </w:p>
    <w:p w14:paraId="1089A3E9" w14:textId="77777777" w:rsidR="007213B2" w:rsidRPr="001F4572" w:rsidRDefault="007213B2" w:rsidP="00EC63E7">
      <w:pPr>
        <w:pStyle w:val="NormalWeb"/>
        <w:shd w:val="clear" w:color="auto" w:fill="FFFFFF"/>
        <w:spacing w:before="0" w:beforeAutospacing="0" w:after="0" w:afterAutospacing="0"/>
        <w:ind w:left="0" w:firstLine="0"/>
        <w:textAlignment w:val="baseline"/>
        <w:rPr>
          <w:rFonts w:ascii="Verdana" w:hAnsi="Verdana"/>
          <w:color w:val="000000" w:themeColor="text1"/>
          <w:sz w:val="20"/>
          <w:szCs w:val="20"/>
        </w:rPr>
      </w:pPr>
    </w:p>
    <w:p w14:paraId="0905D3A2" w14:textId="05ABC6D1" w:rsidR="001F4572" w:rsidRPr="001F4572" w:rsidRDefault="00002CEC" w:rsidP="001F4572">
      <w:pPr>
        <w:pStyle w:val="NormalWeb"/>
        <w:shd w:val="clear" w:color="auto" w:fill="FFFFFF"/>
        <w:spacing w:before="0" w:beforeAutospacing="0" w:after="0" w:afterAutospacing="0"/>
        <w:textAlignment w:val="baseline"/>
        <w:rPr>
          <w:rFonts w:ascii="Verdana" w:hAnsi="Verdana"/>
          <w:color w:val="000000" w:themeColor="text1"/>
          <w:sz w:val="20"/>
          <w:szCs w:val="20"/>
        </w:rPr>
      </w:pPr>
      <w:r w:rsidRPr="001F4572">
        <w:rPr>
          <w:rFonts w:ascii="Verdana" w:hAnsi="Verdana"/>
          <w:b/>
          <w:color w:val="000000" w:themeColor="text1"/>
          <w:sz w:val="20"/>
          <w:szCs w:val="20"/>
        </w:rPr>
        <w:lastRenderedPageBreak/>
        <w:t>References</w:t>
      </w:r>
    </w:p>
    <w:p w14:paraId="062ED3D2" w14:textId="77777777" w:rsidR="001F4572" w:rsidRPr="001F4572" w:rsidRDefault="001F4572" w:rsidP="001F4572">
      <w:pPr>
        <w:pStyle w:val="EndNoteBibliography"/>
        <w:spacing w:after="0"/>
        <w:ind w:left="720" w:hanging="720"/>
        <w:rPr>
          <w:rFonts w:ascii="Verdana" w:hAnsi="Verdana"/>
          <w:noProof/>
          <w:sz w:val="20"/>
        </w:rPr>
      </w:pPr>
      <w:r w:rsidRPr="001F4572">
        <w:rPr>
          <w:rFonts w:ascii="Verdana" w:hAnsi="Verdana" w:cstheme="minorHAnsi"/>
          <w:color w:val="000000" w:themeColor="text1"/>
          <w:sz w:val="20"/>
          <w:shd w:val="clear" w:color="auto" w:fill="FFFFFF"/>
        </w:rPr>
        <w:fldChar w:fldCharType="begin"/>
      </w:r>
      <w:r w:rsidRPr="001F4572">
        <w:rPr>
          <w:rFonts w:ascii="Verdana" w:hAnsi="Verdana" w:cstheme="minorHAnsi"/>
          <w:color w:val="000000" w:themeColor="text1"/>
          <w:sz w:val="20"/>
          <w:shd w:val="clear" w:color="auto" w:fill="FFFFFF"/>
        </w:rPr>
        <w:instrText xml:space="preserve"> ADDIN EN.REFLIST </w:instrText>
      </w:r>
      <w:r w:rsidRPr="001F4572">
        <w:rPr>
          <w:rFonts w:ascii="Verdana" w:hAnsi="Verdana" w:cstheme="minorHAnsi"/>
          <w:color w:val="000000" w:themeColor="text1"/>
          <w:sz w:val="20"/>
          <w:shd w:val="clear" w:color="auto" w:fill="FFFFFF"/>
        </w:rPr>
        <w:fldChar w:fldCharType="separate"/>
      </w:r>
      <w:r w:rsidRPr="001F4572">
        <w:rPr>
          <w:rFonts w:ascii="Verdana" w:hAnsi="Verdana"/>
          <w:noProof/>
          <w:sz w:val="20"/>
        </w:rPr>
        <w:t xml:space="preserve">Alla, L. (2019). </w:t>
      </w:r>
      <w:r w:rsidRPr="001F4572">
        <w:rPr>
          <w:rFonts w:ascii="Verdana" w:hAnsi="Verdana"/>
          <w:i/>
          <w:noProof/>
          <w:sz w:val="20"/>
        </w:rPr>
        <w:t>The effect of inflation on welfare of the population and Russian market capacity.</w:t>
      </w:r>
      <w:r w:rsidRPr="001F4572">
        <w:rPr>
          <w:rFonts w:ascii="Verdana" w:hAnsi="Verdana"/>
          <w:noProof/>
          <w:sz w:val="20"/>
        </w:rPr>
        <w:t xml:space="preserve"> Paper presented at the SHS Web of Conferences.</w:t>
      </w:r>
    </w:p>
    <w:p w14:paraId="775E1C2B" w14:textId="77777777" w:rsidR="001F4572" w:rsidRPr="001F4572" w:rsidRDefault="001F4572" w:rsidP="001F4572">
      <w:pPr>
        <w:pStyle w:val="EndNoteBibliography"/>
        <w:spacing w:after="0"/>
        <w:ind w:left="720" w:hanging="720"/>
        <w:rPr>
          <w:rFonts w:ascii="Verdana" w:hAnsi="Verdana"/>
          <w:noProof/>
          <w:sz w:val="20"/>
        </w:rPr>
      </w:pPr>
      <w:r w:rsidRPr="001F4572">
        <w:rPr>
          <w:rFonts w:ascii="Verdana" w:hAnsi="Verdana"/>
          <w:noProof/>
          <w:sz w:val="20"/>
        </w:rPr>
        <w:t xml:space="preserve">Barros, L. A. (2022). The relationship between inflation and unemployment in the USA in the surplus approach. </w:t>
      </w:r>
      <w:r w:rsidRPr="001F4572">
        <w:rPr>
          <w:rFonts w:ascii="Verdana" w:hAnsi="Verdana"/>
          <w:i/>
          <w:noProof/>
          <w:sz w:val="20"/>
        </w:rPr>
        <w:t>Atlantic Review of Economics: Revista Atlántica de Economía, 5</w:t>
      </w:r>
      <w:r w:rsidRPr="001F4572">
        <w:rPr>
          <w:rFonts w:ascii="Verdana" w:hAnsi="Verdana"/>
          <w:noProof/>
          <w:sz w:val="20"/>
        </w:rPr>
        <w:t xml:space="preserve">(2), 2. </w:t>
      </w:r>
    </w:p>
    <w:p w14:paraId="1E6BBE59" w14:textId="795D26F0" w:rsidR="001F4572" w:rsidRPr="001F4572" w:rsidRDefault="001F4572" w:rsidP="001F4572">
      <w:pPr>
        <w:pStyle w:val="EndNoteBibliography"/>
        <w:spacing w:after="0"/>
        <w:ind w:left="720" w:hanging="720"/>
        <w:rPr>
          <w:rFonts w:ascii="Verdana" w:hAnsi="Verdana"/>
          <w:noProof/>
          <w:sz w:val="20"/>
        </w:rPr>
      </w:pPr>
      <w:r w:rsidRPr="001F4572">
        <w:rPr>
          <w:rFonts w:ascii="Verdana" w:hAnsi="Verdana"/>
          <w:noProof/>
          <w:sz w:val="20"/>
        </w:rPr>
        <w:t xml:space="preserve">Bernanke, B. S., &amp; Mishkin, F. S. (1997). Inflation targeting: a new framework for monetary policy? </w:t>
      </w:r>
      <w:r w:rsidRPr="001F4572">
        <w:rPr>
          <w:rFonts w:ascii="Verdana" w:hAnsi="Verdana"/>
          <w:i/>
          <w:noProof/>
          <w:sz w:val="20"/>
        </w:rPr>
        <w:t>Journal of Economic perspectives, 11</w:t>
      </w:r>
      <w:r w:rsidRPr="001F4572">
        <w:rPr>
          <w:rFonts w:ascii="Verdana" w:hAnsi="Verdana"/>
          <w:noProof/>
          <w:sz w:val="20"/>
        </w:rPr>
        <w:t>(2), 97-116. doi:</w:t>
      </w:r>
      <w:hyperlink r:id="rId18" w:history="1">
        <w:r w:rsidRPr="001F4572">
          <w:rPr>
            <w:rStyle w:val="Hyperlink"/>
            <w:rFonts w:ascii="Verdana" w:hAnsi="Verdana"/>
            <w:noProof/>
            <w:sz w:val="20"/>
          </w:rPr>
          <w:t>https://doi.org/10.1257/jep.11.2.97</w:t>
        </w:r>
      </w:hyperlink>
    </w:p>
    <w:p w14:paraId="02003C6D" w14:textId="77777777" w:rsidR="001F4572" w:rsidRPr="001F4572" w:rsidRDefault="001F4572" w:rsidP="001F4572">
      <w:pPr>
        <w:pStyle w:val="EndNoteBibliography"/>
        <w:spacing w:after="0"/>
        <w:ind w:left="720" w:hanging="720"/>
        <w:rPr>
          <w:rFonts w:ascii="Verdana" w:hAnsi="Verdana"/>
          <w:noProof/>
          <w:sz w:val="20"/>
        </w:rPr>
      </w:pPr>
      <w:r w:rsidRPr="001F4572">
        <w:rPr>
          <w:rFonts w:ascii="Verdana" w:hAnsi="Verdana"/>
          <w:noProof/>
          <w:sz w:val="20"/>
        </w:rPr>
        <w:t xml:space="preserve">Comin, D. A., Johnson, R. C., &amp; Jones, C. J. (2023). </w:t>
      </w:r>
      <w:r w:rsidRPr="001F4572">
        <w:rPr>
          <w:rFonts w:ascii="Verdana" w:hAnsi="Verdana"/>
          <w:i/>
          <w:noProof/>
          <w:sz w:val="20"/>
        </w:rPr>
        <w:t>Supply chain constraints and inflation</w:t>
      </w:r>
      <w:r w:rsidRPr="001F4572">
        <w:rPr>
          <w:rFonts w:ascii="Verdana" w:hAnsi="Verdana"/>
          <w:noProof/>
          <w:sz w:val="20"/>
        </w:rPr>
        <w:t xml:space="preserve">. Retrieved from </w:t>
      </w:r>
    </w:p>
    <w:p w14:paraId="62871512" w14:textId="4DB4EF25" w:rsidR="001F4572" w:rsidRPr="001F4572" w:rsidRDefault="001F4572" w:rsidP="001F4572">
      <w:pPr>
        <w:pStyle w:val="EndNoteBibliography"/>
        <w:spacing w:after="0"/>
        <w:ind w:left="720" w:hanging="720"/>
        <w:rPr>
          <w:rFonts w:ascii="Verdana" w:hAnsi="Verdana"/>
          <w:noProof/>
          <w:sz w:val="20"/>
        </w:rPr>
      </w:pPr>
      <w:r w:rsidRPr="001F4572">
        <w:rPr>
          <w:rFonts w:ascii="Verdana" w:hAnsi="Verdana"/>
          <w:noProof/>
          <w:sz w:val="20"/>
        </w:rPr>
        <w:t xml:space="preserve">Edmunds, S. W. (1979). Who Pays the Costs of Inflation? </w:t>
      </w:r>
      <w:r w:rsidRPr="001F4572">
        <w:rPr>
          <w:rFonts w:ascii="Verdana" w:hAnsi="Verdana"/>
          <w:i/>
          <w:noProof/>
          <w:sz w:val="20"/>
        </w:rPr>
        <w:t>Policy Studies Journal, 7</w:t>
      </w:r>
      <w:r w:rsidRPr="001F4572">
        <w:rPr>
          <w:rFonts w:ascii="Verdana" w:hAnsi="Verdana"/>
          <w:noProof/>
          <w:sz w:val="20"/>
        </w:rPr>
        <w:t>(3), 568-577. doi:</w:t>
      </w:r>
      <w:hyperlink r:id="rId19" w:history="1">
        <w:r w:rsidRPr="001F4572">
          <w:rPr>
            <w:rStyle w:val="Hyperlink"/>
            <w:rFonts w:ascii="Verdana" w:hAnsi="Verdana"/>
            <w:noProof/>
            <w:sz w:val="20"/>
          </w:rPr>
          <w:t>https://doi.org/10.1111/j.1541-0072.1979.tb01351.x</w:t>
        </w:r>
      </w:hyperlink>
    </w:p>
    <w:p w14:paraId="0338CFF6" w14:textId="77777777" w:rsidR="001F4572" w:rsidRPr="001F4572" w:rsidRDefault="001F4572" w:rsidP="001F4572">
      <w:pPr>
        <w:pStyle w:val="EndNoteBibliography"/>
        <w:spacing w:after="0"/>
        <w:ind w:left="720" w:hanging="720"/>
        <w:rPr>
          <w:rFonts w:ascii="Verdana" w:hAnsi="Verdana"/>
          <w:noProof/>
          <w:sz w:val="20"/>
        </w:rPr>
      </w:pPr>
      <w:r w:rsidRPr="001F4572">
        <w:rPr>
          <w:rFonts w:ascii="Verdana" w:hAnsi="Verdana"/>
          <w:noProof/>
          <w:sz w:val="20"/>
        </w:rPr>
        <w:t xml:space="preserve">Edwards, P., Baden-Fuller, C., Pissarides, C., Rubery, J., Crouch, C., &amp; Taylor-Gooby, P. (2023). Inflation, wages and equality: cross-disciplinary conversations. </w:t>
      </w:r>
      <w:r w:rsidRPr="001F4572">
        <w:rPr>
          <w:rFonts w:ascii="Verdana" w:hAnsi="Verdana"/>
          <w:i/>
          <w:noProof/>
          <w:sz w:val="20"/>
        </w:rPr>
        <w:t>Journal of the British Academy, 11</w:t>
      </w:r>
      <w:r w:rsidRPr="001F4572">
        <w:rPr>
          <w:rFonts w:ascii="Verdana" w:hAnsi="Verdana"/>
          <w:noProof/>
          <w:sz w:val="20"/>
        </w:rPr>
        <w:t xml:space="preserve">, 25-41. </w:t>
      </w:r>
    </w:p>
    <w:p w14:paraId="31455979" w14:textId="77777777" w:rsidR="001F4572" w:rsidRPr="001F4572" w:rsidRDefault="001F4572" w:rsidP="001F4572">
      <w:pPr>
        <w:pStyle w:val="EndNoteBibliography"/>
        <w:spacing w:after="0"/>
        <w:ind w:left="720" w:hanging="720"/>
        <w:rPr>
          <w:rFonts w:ascii="Verdana" w:hAnsi="Verdana"/>
          <w:noProof/>
          <w:sz w:val="20"/>
        </w:rPr>
      </w:pPr>
      <w:r w:rsidRPr="001F4572">
        <w:rPr>
          <w:rFonts w:ascii="Verdana" w:hAnsi="Verdana"/>
          <w:noProof/>
          <w:sz w:val="20"/>
        </w:rPr>
        <w:t xml:space="preserve">ELLAHI, N., KIANI, A., MEHMOOD, Z., &amp; MAROOF, Z. (2018). Food inflation and poverty nexus: An empirical ascertainment. </w:t>
      </w:r>
      <w:r w:rsidRPr="001F4572">
        <w:rPr>
          <w:rFonts w:ascii="Verdana" w:hAnsi="Verdana"/>
          <w:i/>
          <w:noProof/>
          <w:sz w:val="20"/>
        </w:rPr>
        <w:t>Research Journal Social Sciences, 7</w:t>
      </w:r>
      <w:r w:rsidRPr="001F4572">
        <w:rPr>
          <w:rFonts w:ascii="Verdana" w:hAnsi="Verdana"/>
          <w:noProof/>
          <w:sz w:val="20"/>
        </w:rPr>
        <w:t xml:space="preserve">(1). </w:t>
      </w:r>
    </w:p>
    <w:p w14:paraId="5854EE17" w14:textId="77777777" w:rsidR="001F4572" w:rsidRPr="001F4572" w:rsidRDefault="001F4572" w:rsidP="001F4572">
      <w:pPr>
        <w:pStyle w:val="EndNoteBibliography"/>
        <w:spacing w:after="0"/>
        <w:ind w:left="720" w:hanging="720"/>
        <w:rPr>
          <w:rFonts w:ascii="Verdana" w:hAnsi="Verdana"/>
          <w:noProof/>
          <w:sz w:val="20"/>
        </w:rPr>
      </w:pPr>
      <w:r w:rsidRPr="001F4572">
        <w:rPr>
          <w:rFonts w:ascii="Verdana" w:hAnsi="Verdana"/>
          <w:noProof/>
          <w:sz w:val="20"/>
        </w:rPr>
        <w:t xml:space="preserve">Faisal, K. (2023). Shutter down Strike across 7 Districts of AJK amid High Electricity Bills &amp; Inflation Row. </w:t>
      </w:r>
      <w:r w:rsidRPr="001F4572">
        <w:rPr>
          <w:rFonts w:ascii="Verdana" w:hAnsi="Verdana"/>
          <w:i/>
          <w:noProof/>
          <w:sz w:val="20"/>
        </w:rPr>
        <w:t>Dawn news</w:t>
      </w:r>
      <w:r w:rsidRPr="001F4572">
        <w:rPr>
          <w:rFonts w:ascii="Verdana" w:hAnsi="Verdana"/>
          <w:noProof/>
          <w:sz w:val="20"/>
        </w:rPr>
        <w:t xml:space="preserve">. </w:t>
      </w:r>
    </w:p>
    <w:p w14:paraId="67A35D7A" w14:textId="77777777" w:rsidR="001F4572" w:rsidRPr="001F4572" w:rsidRDefault="001F4572" w:rsidP="001F4572">
      <w:pPr>
        <w:pStyle w:val="EndNoteBibliography"/>
        <w:spacing w:after="0"/>
        <w:ind w:left="720" w:hanging="720"/>
        <w:rPr>
          <w:rFonts w:ascii="Verdana" w:hAnsi="Verdana"/>
          <w:noProof/>
          <w:sz w:val="20"/>
        </w:rPr>
      </w:pPr>
      <w:r w:rsidRPr="001F4572">
        <w:rPr>
          <w:rFonts w:ascii="Verdana" w:hAnsi="Verdana"/>
          <w:noProof/>
          <w:sz w:val="20"/>
        </w:rPr>
        <w:t xml:space="preserve">Farid, S., Khan, W. A., Warriach, I. A., &amp; Warriach, A. (2012). Effects of Inflation on Standard of Living (A case study of Multan, Pakistan). </w:t>
      </w:r>
      <w:r w:rsidRPr="001F4572">
        <w:rPr>
          <w:rFonts w:ascii="Verdana" w:hAnsi="Verdana"/>
          <w:i/>
          <w:noProof/>
          <w:sz w:val="20"/>
        </w:rPr>
        <w:t>Universal journal of management and social sciences, 2</w:t>
      </w:r>
      <w:r w:rsidRPr="001F4572">
        <w:rPr>
          <w:rFonts w:ascii="Verdana" w:hAnsi="Verdana"/>
          <w:noProof/>
          <w:sz w:val="20"/>
        </w:rPr>
        <w:t xml:space="preserve">(12), 1-06. </w:t>
      </w:r>
    </w:p>
    <w:p w14:paraId="7ADBE4A5" w14:textId="77777777" w:rsidR="001F4572" w:rsidRPr="001F4572" w:rsidRDefault="001F4572" w:rsidP="001F4572">
      <w:pPr>
        <w:pStyle w:val="EndNoteBibliography"/>
        <w:spacing w:after="0"/>
        <w:ind w:left="720" w:hanging="720"/>
        <w:rPr>
          <w:rFonts w:ascii="Verdana" w:hAnsi="Verdana"/>
          <w:noProof/>
          <w:sz w:val="20"/>
        </w:rPr>
      </w:pPr>
      <w:r w:rsidRPr="001F4572">
        <w:rPr>
          <w:rFonts w:ascii="Verdana" w:hAnsi="Verdana"/>
          <w:noProof/>
          <w:sz w:val="20"/>
        </w:rPr>
        <w:t xml:space="preserve">Hanif, M. N. (2012). A note on food inflation in Pakistan. </w:t>
      </w:r>
      <w:r w:rsidRPr="001F4572">
        <w:rPr>
          <w:rFonts w:ascii="Verdana" w:hAnsi="Verdana"/>
          <w:i/>
          <w:noProof/>
          <w:sz w:val="20"/>
        </w:rPr>
        <w:t>Pakistan Economic and Social Review</w:t>
      </w:r>
      <w:r w:rsidRPr="001F4572">
        <w:rPr>
          <w:rFonts w:ascii="Verdana" w:hAnsi="Verdana"/>
          <w:noProof/>
          <w:sz w:val="20"/>
        </w:rPr>
        <w:t xml:space="preserve">, 183-206. </w:t>
      </w:r>
    </w:p>
    <w:p w14:paraId="556A9E9C" w14:textId="77777777" w:rsidR="001F4572" w:rsidRPr="001F4572" w:rsidRDefault="001F4572" w:rsidP="001F4572">
      <w:pPr>
        <w:pStyle w:val="EndNoteBibliography"/>
        <w:spacing w:after="0"/>
        <w:ind w:left="720" w:hanging="720"/>
        <w:rPr>
          <w:rFonts w:ascii="Verdana" w:hAnsi="Verdana"/>
          <w:noProof/>
          <w:sz w:val="20"/>
        </w:rPr>
      </w:pPr>
      <w:r w:rsidRPr="001F4572">
        <w:rPr>
          <w:rFonts w:ascii="Verdana" w:hAnsi="Verdana"/>
          <w:noProof/>
          <w:sz w:val="20"/>
        </w:rPr>
        <w:t xml:space="preserve">Hasan, M. A., Khan, A. H., Pasha, H. A., Rasheed, M. A., &amp; Husain, A. M. (1995). What explains the current high rate of inflation in Pakistan?[with Comments]. </w:t>
      </w:r>
      <w:r w:rsidRPr="001F4572">
        <w:rPr>
          <w:rFonts w:ascii="Verdana" w:hAnsi="Verdana"/>
          <w:i/>
          <w:noProof/>
          <w:sz w:val="20"/>
        </w:rPr>
        <w:t>The Pakistan Development Review, 34</w:t>
      </w:r>
      <w:r w:rsidRPr="001F4572">
        <w:rPr>
          <w:rFonts w:ascii="Verdana" w:hAnsi="Verdana"/>
          <w:noProof/>
          <w:sz w:val="20"/>
        </w:rPr>
        <w:t xml:space="preserve">(4), 927-943. </w:t>
      </w:r>
    </w:p>
    <w:p w14:paraId="000B213C" w14:textId="7B988F6B" w:rsidR="001F4572" w:rsidRPr="001F4572" w:rsidRDefault="001F4572" w:rsidP="001F4572">
      <w:pPr>
        <w:pStyle w:val="EndNoteBibliography"/>
        <w:spacing w:after="0"/>
        <w:ind w:left="720" w:hanging="720"/>
        <w:rPr>
          <w:rFonts w:ascii="Verdana" w:hAnsi="Verdana"/>
          <w:noProof/>
          <w:sz w:val="20"/>
        </w:rPr>
      </w:pPr>
      <w:r w:rsidRPr="001F4572">
        <w:rPr>
          <w:rFonts w:ascii="Verdana" w:hAnsi="Verdana"/>
          <w:noProof/>
          <w:sz w:val="20"/>
        </w:rPr>
        <w:t xml:space="preserve">Hung, H.-f., &amp; Thompson, D. (2016). Money supply, class power, and inflation: Monetarism reassessed. </w:t>
      </w:r>
      <w:r w:rsidRPr="001F4572">
        <w:rPr>
          <w:rFonts w:ascii="Verdana" w:hAnsi="Verdana"/>
          <w:i/>
          <w:noProof/>
          <w:sz w:val="20"/>
        </w:rPr>
        <w:t>American sociological review, 81</w:t>
      </w:r>
      <w:r w:rsidRPr="001F4572">
        <w:rPr>
          <w:rFonts w:ascii="Verdana" w:hAnsi="Verdana"/>
          <w:noProof/>
          <w:sz w:val="20"/>
        </w:rPr>
        <w:t>(3), 447-466. doi:</w:t>
      </w:r>
      <w:hyperlink r:id="rId20" w:history="1">
        <w:r w:rsidRPr="001F4572">
          <w:rPr>
            <w:rStyle w:val="Hyperlink"/>
            <w:rFonts w:ascii="Verdana" w:hAnsi="Verdana"/>
            <w:noProof/>
            <w:sz w:val="20"/>
          </w:rPr>
          <w:t>https://doi.org/10.1177/0003122416639609</w:t>
        </w:r>
      </w:hyperlink>
    </w:p>
    <w:p w14:paraId="0AC11438" w14:textId="77777777" w:rsidR="001F4572" w:rsidRPr="001F4572" w:rsidRDefault="001F4572" w:rsidP="001F4572">
      <w:pPr>
        <w:pStyle w:val="EndNoteBibliography"/>
        <w:spacing w:after="0"/>
        <w:ind w:left="720" w:hanging="720"/>
        <w:rPr>
          <w:rFonts w:ascii="Verdana" w:hAnsi="Verdana"/>
          <w:noProof/>
          <w:sz w:val="20"/>
        </w:rPr>
      </w:pPr>
      <w:r w:rsidRPr="001F4572">
        <w:rPr>
          <w:rFonts w:ascii="Verdana" w:hAnsi="Verdana"/>
          <w:noProof/>
          <w:sz w:val="20"/>
        </w:rPr>
        <w:t xml:space="preserve">Jhingan, T. (2010). Inflation and the Cost of Living. RBA Bulletin. 33-46. </w:t>
      </w:r>
    </w:p>
    <w:p w14:paraId="7B070B31" w14:textId="79DFA148" w:rsidR="001F4572" w:rsidRPr="001F4572" w:rsidRDefault="001F4572" w:rsidP="001F4572">
      <w:pPr>
        <w:pStyle w:val="EndNoteBibliography"/>
        <w:ind w:left="720" w:hanging="720"/>
        <w:rPr>
          <w:rFonts w:ascii="Verdana" w:hAnsi="Verdana"/>
          <w:noProof/>
          <w:sz w:val="20"/>
        </w:rPr>
      </w:pPr>
      <w:r w:rsidRPr="001F4572">
        <w:rPr>
          <w:rFonts w:ascii="Verdana" w:hAnsi="Verdana"/>
          <w:noProof/>
          <w:sz w:val="20"/>
        </w:rPr>
        <w:t xml:space="preserve">Rudd, J. B. (2022). Why do we think that inflation expectations matter for inflation?(and should we?). </w:t>
      </w:r>
      <w:r w:rsidRPr="001F4572">
        <w:rPr>
          <w:rFonts w:ascii="Verdana" w:hAnsi="Verdana"/>
          <w:i/>
          <w:noProof/>
          <w:sz w:val="20"/>
        </w:rPr>
        <w:t>Review of Keynesian Economics, 10</w:t>
      </w:r>
      <w:r w:rsidRPr="001F4572">
        <w:rPr>
          <w:rFonts w:ascii="Verdana" w:hAnsi="Verdana"/>
          <w:noProof/>
          <w:sz w:val="20"/>
        </w:rPr>
        <w:t>(1), 25-45. doi:</w:t>
      </w:r>
      <w:hyperlink r:id="rId21" w:history="1">
        <w:r w:rsidRPr="001F4572">
          <w:rPr>
            <w:rStyle w:val="Hyperlink"/>
            <w:rFonts w:ascii="Verdana" w:hAnsi="Verdana"/>
            <w:noProof/>
            <w:sz w:val="20"/>
          </w:rPr>
          <w:t>https://doi.org/10.4337/roke.2022.01.02</w:t>
        </w:r>
      </w:hyperlink>
    </w:p>
    <w:p w14:paraId="573005ED" w14:textId="2C315142" w:rsidR="00A93168" w:rsidRPr="001F4572" w:rsidRDefault="001F4572" w:rsidP="00002CEC">
      <w:pPr>
        <w:ind w:left="0" w:firstLine="720"/>
        <w:rPr>
          <w:rFonts w:ascii="Verdana" w:hAnsi="Verdana" w:cstheme="minorHAnsi"/>
          <w:color w:val="000000" w:themeColor="text1"/>
          <w:sz w:val="20"/>
          <w:szCs w:val="20"/>
          <w:shd w:val="clear" w:color="auto" w:fill="FFFFFF"/>
        </w:rPr>
      </w:pPr>
      <w:r w:rsidRPr="001F4572">
        <w:rPr>
          <w:rFonts w:ascii="Verdana" w:hAnsi="Verdana" w:cstheme="minorHAnsi"/>
          <w:color w:val="000000" w:themeColor="text1"/>
          <w:sz w:val="20"/>
          <w:szCs w:val="20"/>
          <w:shd w:val="clear" w:color="auto" w:fill="FFFFFF"/>
        </w:rPr>
        <w:fldChar w:fldCharType="end"/>
      </w:r>
    </w:p>
    <w:sectPr w:rsidR="00A93168" w:rsidRPr="001F4572" w:rsidSect="00EC63E7">
      <w:headerReference w:type="default" r:id="rId22"/>
      <w:footerReference w:type="even" r:id="rId23"/>
      <w:footerReference w:type="default" r:id="rId24"/>
      <w:headerReference w:type="first" r:id="rId25"/>
      <w:footerReference w:type="first" r:id="rId26"/>
      <w:type w:val="continuous"/>
      <w:pgSz w:w="11907" w:h="16839"/>
      <w:pgMar w:top="850" w:right="1138" w:bottom="562" w:left="1170" w:header="562" w:footer="562" w:gutter="0"/>
      <w:pgNumType w:start="360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447B" w14:textId="77777777" w:rsidR="009458A5" w:rsidRDefault="009458A5">
      <w:r>
        <w:separator/>
      </w:r>
    </w:p>
  </w:endnote>
  <w:endnote w:type="continuationSeparator" w:id="0">
    <w:p w14:paraId="0ECF62D6" w14:textId="77777777" w:rsidR="009458A5" w:rsidRDefault="0094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Times-Roman">
    <w:altName w:val="Times New Roman"/>
    <w:charset w:val="00"/>
    <w:family w:val="roman"/>
    <w:pitch w:val="default"/>
    <w:sig w:usb0="00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dobe Garamond Pro">
    <w:altName w:val="Adobe Garamond Pro"/>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ejaVuSerif-Bold">
    <w:altName w:val="MS Gothic"/>
    <w:charset w:val="80"/>
    <w:family w:val="auto"/>
    <w:pitch w:val="default"/>
    <w:sig w:usb0="00000000" w:usb1="0000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Helvetica-Bold">
    <w:altName w:val="Arial"/>
    <w:charset w:val="00"/>
    <w:family w:val="roman"/>
    <w:pitch w:val="default"/>
  </w:font>
  <w:font w:name="Minion-Bold">
    <w:altName w:val="Cambria"/>
    <w:charset w:val="00"/>
    <w:family w:val="roman"/>
    <w:pitch w:val="default"/>
  </w:font>
  <w:font w:name="AdvOT40514f85+20">
    <w:altName w:val="Cambria"/>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方正书宋简体">
    <w:altName w:val="Arial Unicode MS"/>
    <w:charset w:val="86"/>
    <w:family w:val="script"/>
    <w:pitch w:val="default"/>
    <w:sig w:usb0="00000000" w:usb1="00000000" w:usb2="00000010" w:usb3="00000000" w:csb0="00040000" w:csb1="00000000"/>
  </w:font>
  <w:font w:name="TUM Neue Helvetica 55 Regular">
    <w:altName w:val="Calibri"/>
    <w:charset w:val="00"/>
    <w:family w:val="swiss"/>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ff1">
    <w:altName w:val="Segoe Print"/>
    <w:charset w:val="00"/>
    <w:family w:val="auto"/>
    <w:pitch w:val="default"/>
  </w:font>
  <w:font w:name="TimesNewRomanPS-BoldMT">
    <w:altName w:val="Segoe Print"/>
    <w:charset w:val="00"/>
    <w:family w:val="auto"/>
    <w:pitch w:val="default"/>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7F82" w14:textId="77777777" w:rsidR="00B12EEF" w:rsidRDefault="00B12EEF">
    <w:pPr>
      <w:pStyle w:val="Footer"/>
      <w:tabs>
        <w:tab w:val="right" w:pos="7560"/>
      </w:tabs>
    </w:pPr>
  </w:p>
  <w:p w14:paraId="38B74EB5" w14:textId="47D8EB8B" w:rsidR="00B12EEF" w:rsidRDefault="00B12EEF">
    <w:pPr>
      <w:pStyle w:val="Footer"/>
      <w:tabs>
        <w:tab w:val="right" w:pos="7560"/>
      </w:tabs>
      <w:rPr>
        <w:rFonts w:ascii="Old English Text MT" w:hAnsi="Old English Text MT"/>
        <w:sz w:val="16"/>
        <w:szCs w:val="16"/>
      </w:rPr>
    </w:pPr>
    <w:r>
      <w:rPr>
        <w:rFonts w:ascii="Verdana" w:hAnsi="Verdana" w:cs="Arial"/>
        <w:sz w:val="16"/>
        <w:szCs w:val="16"/>
      </w:rPr>
      <w:fldChar w:fldCharType="begin"/>
    </w:r>
    <w:r>
      <w:rPr>
        <w:rFonts w:ascii="Verdana" w:hAnsi="Verdana" w:cs="Arial"/>
        <w:sz w:val="16"/>
        <w:szCs w:val="16"/>
      </w:rPr>
      <w:instrText xml:space="preserve"> PAGE   \* MERGEFORMAT </w:instrText>
    </w:r>
    <w:r>
      <w:rPr>
        <w:rFonts w:ascii="Verdana" w:hAnsi="Verdana" w:cs="Arial"/>
        <w:sz w:val="16"/>
        <w:szCs w:val="16"/>
      </w:rPr>
      <w:fldChar w:fldCharType="separate"/>
    </w:r>
    <w:r w:rsidR="004C344B">
      <w:rPr>
        <w:rFonts w:ascii="Verdana" w:hAnsi="Verdana" w:cs="Arial"/>
        <w:noProof/>
        <w:sz w:val="16"/>
        <w:szCs w:val="16"/>
      </w:rPr>
      <w:t>724</w:t>
    </w:r>
    <w:r>
      <w:rPr>
        <w:rFonts w:ascii="Verdana" w:hAnsi="Verdana" w:cs="Arial"/>
        <w:sz w:val="16"/>
        <w:szCs w:val="16"/>
      </w:rPr>
      <w:fldChar w:fldCharType="end"/>
    </w:r>
    <w:r>
      <w:rPr>
        <w:rFonts w:ascii="Old English Text MT" w:hAnsi="Old English Text MT"/>
        <w:sz w:val="20"/>
        <w:szCs w:val="16"/>
      </w:rPr>
      <w:tab/>
    </w:r>
    <w:r>
      <w:rPr>
        <w:rFonts w:ascii="Old English Text MT" w:hAnsi="Old English Text MT"/>
        <w:sz w:val="20"/>
        <w:szCs w:val="16"/>
      </w:rPr>
      <w:tab/>
    </w:r>
  </w:p>
  <w:p w14:paraId="6B533D3C" w14:textId="77777777" w:rsidR="00B12EEF" w:rsidRDefault="00B12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EC14" w14:textId="20C27675" w:rsidR="00B12EEF" w:rsidRDefault="00B12EEF">
    <w:pPr>
      <w:pStyle w:val="Footer"/>
    </w:pPr>
    <w:r>
      <w:rPr>
        <w:rFonts w:ascii="Verdana" w:hAnsi="Verdana" w:cs="Arial"/>
        <w:sz w:val="16"/>
        <w:szCs w:val="16"/>
      </w:rPr>
      <w:fldChar w:fldCharType="begin"/>
    </w:r>
    <w:r>
      <w:rPr>
        <w:rFonts w:ascii="Verdana" w:hAnsi="Verdana" w:cs="Arial"/>
        <w:sz w:val="16"/>
        <w:szCs w:val="16"/>
      </w:rPr>
      <w:instrText xml:space="preserve"> PAGE   \* MERGEFORMAT </w:instrText>
    </w:r>
    <w:r>
      <w:rPr>
        <w:rFonts w:ascii="Verdana" w:hAnsi="Verdana" w:cs="Arial"/>
        <w:sz w:val="16"/>
        <w:szCs w:val="16"/>
      </w:rPr>
      <w:fldChar w:fldCharType="separate"/>
    </w:r>
    <w:r w:rsidR="004C344B">
      <w:rPr>
        <w:rFonts w:ascii="Verdana" w:hAnsi="Verdana" w:cs="Arial"/>
        <w:noProof/>
        <w:sz w:val="16"/>
        <w:szCs w:val="16"/>
      </w:rPr>
      <w:t>723</w:t>
    </w:r>
    <w:r>
      <w:rPr>
        <w:rFonts w:ascii="Verdana" w:hAnsi="Verdana" w:cs="Arial"/>
        <w:sz w:val="16"/>
        <w:szCs w:val="16"/>
      </w:rPr>
      <w:fldChar w:fldCharType="end"/>
    </w:r>
  </w:p>
  <w:p w14:paraId="173EA7D7" w14:textId="77777777" w:rsidR="00B12EEF" w:rsidRDefault="00B12E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8930" w14:textId="77777777" w:rsidR="00B12EEF" w:rsidRDefault="00B12EEF">
    <w:pPr>
      <w:pStyle w:val="Footer"/>
      <w:jc w:val="left"/>
      <w:rPr>
        <w:rFonts w:ascii="Verdana" w:hAnsi="Verdana"/>
        <w:sz w:val="16"/>
        <w:szCs w:val="16"/>
      </w:rPr>
    </w:pPr>
  </w:p>
  <w:p w14:paraId="45A40121" w14:textId="23CF2BFB" w:rsidR="00B12EEF" w:rsidRDefault="00B12EEF" w:rsidP="00FA36E5">
    <w:pPr>
      <w:pStyle w:val="Footer"/>
      <w:tabs>
        <w:tab w:val="left" w:pos="4458"/>
      </w:tabs>
      <w:jc w:val="left"/>
      <w:rPr>
        <w:rFonts w:ascii="Verdana" w:hAnsi="Verdana"/>
        <w:sz w:val="16"/>
        <w:szCs w:val="16"/>
      </w:rPr>
    </w:pPr>
    <w:r>
      <w:rPr>
        <w:rFonts w:ascii="Verdana" w:hAnsi="Verdana"/>
        <w:sz w:val="16"/>
        <w:szCs w:val="16"/>
      </w:rPr>
      <w:tab/>
    </w:r>
    <w:r>
      <w:rPr>
        <w:rFonts w:ascii="Verdana" w:hAnsi="Verdana"/>
        <w:sz w:val="16"/>
        <w:szCs w:val="16"/>
      </w:rPr>
      <w:tab/>
    </w:r>
    <w:r w:rsidR="00FA36E5">
      <w:rPr>
        <w:rFonts w:ascii="Verdana" w:hAnsi="Verdana"/>
        <w:sz w:val="16"/>
        <w:szCs w:val="16"/>
      </w:rPr>
      <w:tab/>
    </w:r>
    <w:r>
      <w:rPr>
        <w:rFonts w:ascii="Verdana" w:hAnsi="Verdana"/>
        <w:sz w:val="16"/>
        <w:szCs w:val="16"/>
      </w:rPr>
      <w:fldChar w:fldCharType="begin"/>
    </w:r>
    <w:r>
      <w:rPr>
        <w:rFonts w:ascii="Verdana" w:hAnsi="Verdana"/>
        <w:sz w:val="16"/>
        <w:szCs w:val="16"/>
      </w:rPr>
      <w:instrText xml:space="preserve"> PAGE   \* MERGEFORMAT </w:instrText>
    </w:r>
    <w:r>
      <w:rPr>
        <w:rFonts w:ascii="Verdana" w:hAnsi="Verdana"/>
        <w:sz w:val="16"/>
        <w:szCs w:val="16"/>
      </w:rPr>
      <w:fldChar w:fldCharType="separate"/>
    </w:r>
    <w:r w:rsidR="004C344B">
      <w:rPr>
        <w:rFonts w:ascii="Verdana" w:hAnsi="Verdana"/>
        <w:noProof/>
        <w:sz w:val="16"/>
        <w:szCs w:val="16"/>
      </w:rPr>
      <w:t>718</w:t>
    </w:r>
    <w:r>
      <w:rPr>
        <w:rFonts w:ascii="Verdana" w:hAnsi="Verdana"/>
        <w:sz w:val="16"/>
        <w:szCs w:val="16"/>
      </w:rPr>
      <w:fldChar w:fldCharType="end"/>
    </w:r>
    <w:r>
      <w:rPr>
        <w:rFonts w:ascii="Verdana" w:hAnsi="Verdana"/>
        <w:sz w:val="16"/>
        <w:szCs w:val="16"/>
      </w:rPr>
      <w:tab/>
      <w:t>eISSN: 2415-007X</w:t>
    </w:r>
  </w:p>
  <w:p w14:paraId="3FCC3138" w14:textId="77777777" w:rsidR="00B12EEF" w:rsidRDefault="00B12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33C5D" w14:textId="77777777" w:rsidR="009458A5" w:rsidRDefault="009458A5">
      <w:r>
        <w:separator/>
      </w:r>
    </w:p>
  </w:footnote>
  <w:footnote w:type="continuationSeparator" w:id="0">
    <w:p w14:paraId="5E838759" w14:textId="77777777" w:rsidR="009458A5" w:rsidRDefault="00945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A637" w14:textId="2ECF3E07" w:rsidR="00B12EEF" w:rsidRDefault="00B12EEF">
    <w:pPr>
      <w:pStyle w:val="Header"/>
      <w:rPr>
        <w:rFonts w:ascii="Verdana" w:hAnsi="Verdana"/>
        <w:i/>
        <w:sz w:val="16"/>
        <w:szCs w:val="16"/>
      </w:rPr>
    </w:pPr>
    <w:r>
      <w:rPr>
        <w:rFonts w:ascii="Verdana" w:hAnsi="Verdana"/>
        <w:i/>
        <w:sz w:val="16"/>
        <w:szCs w:val="16"/>
      </w:rPr>
      <w:t>Pakistan Journal of Humanities and Social Sciences, 11(</w:t>
    </w:r>
    <w:r w:rsidR="00C65C28">
      <w:rPr>
        <w:rFonts w:ascii="Verdana" w:hAnsi="Verdana"/>
        <w:i/>
        <w:sz w:val="16"/>
        <w:szCs w:val="16"/>
      </w:rPr>
      <w:t>3</w:t>
    </w:r>
    <w:r>
      <w:rPr>
        <w:rFonts w:ascii="Verdana" w:hAnsi="Verdana"/>
        <w:i/>
        <w:sz w:val="16"/>
        <w:szCs w:val="16"/>
      </w:rPr>
      <w:t>),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D69C" w14:textId="7E258BFD" w:rsidR="00B12EEF" w:rsidRPr="008C2DE1" w:rsidRDefault="00253C3E" w:rsidP="00253C3E">
    <w:pPr>
      <w:shd w:val="clear" w:color="auto" w:fill="FFFFFF"/>
      <w:ind w:left="0" w:firstLine="0"/>
      <w:jc w:val="left"/>
      <w:rPr>
        <w:rFonts w:ascii="Verdana" w:hAnsi="Verdana" w:cs="Arial"/>
        <w:color w:val="auto"/>
        <w:sz w:val="14"/>
        <w:szCs w:val="14"/>
      </w:rPr>
    </w:pPr>
    <w:bookmarkStart w:id="6" w:name="_Hlk143293170"/>
    <w:bookmarkStart w:id="7" w:name="_Hlk143293171"/>
    <w:r w:rsidRPr="008C2DE1">
      <w:rPr>
        <w:rFonts w:ascii="Verdana" w:hAnsi="Verdana" w:cs="Arial"/>
        <w:color w:val="auto"/>
        <w:sz w:val="14"/>
        <w:szCs w:val="14"/>
      </w:rPr>
      <w:t>DOI: 10.52131/pjhss.2023.110</w:t>
    </w:r>
    <w:r w:rsidR="006555DA" w:rsidRPr="008C2DE1">
      <w:rPr>
        <w:rFonts w:ascii="Verdana" w:hAnsi="Verdana" w:cs="Arial"/>
        <w:color w:val="auto"/>
        <w:sz w:val="14"/>
        <w:szCs w:val="14"/>
      </w:rPr>
      <w:t>3</w:t>
    </w:r>
    <w:r w:rsidRPr="008C2DE1">
      <w:rPr>
        <w:rFonts w:ascii="Verdana" w:hAnsi="Verdana" w:cs="Arial"/>
        <w:color w:val="auto"/>
        <w:sz w:val="14"/>
        <w:szCs w:val="14"/>
      </w:rPr>
      <w:t>.0</w:t>
    </w:r>
    <w:bookmarkEnd w:id="6"/>
    <w:bookmarkEnd w:id="7"/>
    <w:r w:rsidR="008C2DE1" w:rsidRPr="008C2DE1">
      <w:rPr>
        <w:rFonts w:ascii="Verdana" w:hAnsi="Verdana" w:cs="Arial"/>
        <w:color w:val="auto"/>
        <w:sz w:val="14"/>
        <w:szCs w:val="14"/>
      </w:rPr>
      <w:t>6</w:t>
    </w:r>
    <w:r w:rsidR="001478BD">
      <w:rPr>
        <w:rFonts w:ascii="Verdana" w:hAnsi="Verdana" w:cs="Arial"/>
        <w:color w:val="auto"/>
        <w:sz w:val="14"/>
        <w:szCs w:val="14"/>
      </w:rPr>
      <w:t>4</w:t>
    </w:r>
    <w:r w:rsidR="00070ED3">
      <w:rPr>
        <w:rFonts w:ascii="Verdana" w:hAnsi="Verdana" w:cs="Arial"/>
        <w:color w:val="auto"/>
        <w:sz w:val="14"/>
        <w:szCs w:val="1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15:restartNumberingAfterBreak="0">
    <w:nsid w:val="025D60A2"/>
    <w:multiLevelType w:val="multilevel"/>
    <w:tmpl w:val="C6FAFE30"/>
    <w:lvl w:ilvl="0">
      <w:start w:val="1"/>
      <w:numFmt w:val="upperRoman"/>
      <w:lvlText w:val="%1."/>
      <w:lvlJc w:val="righ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350349B"/>
    <w:multiLevelType w:val="multilevel"/>
    <w:tmpl w:val="9FAE740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79C1C82"/>
    <w:multiLevelType w:val="hybridMultilevel"/>
    <w:tmpl w:val="40E4D8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05504A"/>
    <w:multiLevelType w:val="hybridMultilevel"/>
    <w:tmpl w:val="FE7C8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27B36"/>
    <w:multiLevelType w:val="multilevel"/>
    <w:tmpl w:val="0FA27B36"/>
    <w:lvl w:ilvl="0">
      <w:start w:val="1"/>
      <w:numFmt w:val="bullet"/>
      <w:pStyle w:val="JOMB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7A0831"/>
    <w:multiLevelType w:val="hybridMultilevel"/>
    <w:tmpl w:val="B04AAB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429D8"/>
    <w:multiLevelType w:val="hybridMultilevel"/>
    <w:tmpl w:val="15AEF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4353E"/>
    <w:multiLevelType w:val="hybridMultilevel"/>
    <w:tmpl w:val="7CA08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74702"/>
    <w:multiLevelType w:val="multilevel"/>
    <w:tmpl w:val="D234BFFA"/>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18F1DEC"/>
    <w:multiLevelType w:val="hybridMultilevel"/>
    <w:tmpl w:val="183AB8DE"/>
    <w:lvl w:ilvl="0" w:tplc="CFD48E0C">
      <w:start w:val="1"/>
      <w:numFmt w:val="bullet"/>
      <w:lvlText w:val=""/>
      <w:lvlJc w:val="left"/>
      <w:pPr>
        <w:ind w:left="540" w:hanging="360"/>
      </w:pPr>
      <w:rPr>
        <w:rFonts w:ascii="Symbol" w:hAnsi="Symbol"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4271580"/>
    <w:multiLevelType w:val="hybridMultilevel"/>
    <w:tmpl w:val="EEDA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C41A9A"/>
    <w:multiLevelType w:val="multilevel"/>
    <w:tmpl w:val="2592CA24"/>
    <w:lvl w:ilvl="0">
      <w:start w:val="1"/>
      <w:numFmt w:val="decimal"/>
      <w:lvlText w:val="%1."/>
      <w:lvlJc w:val="left"/>
      <w:pPr>
        <w:ind w:left="1980" w:hanging="360"/>
      </w:pPr>
      <w:rPr>
        <w:rFonts w:hint="default"/>
        <w:b/>
        <w:bCs/>
        <w:sz w:val="24"/>
        <w:szCs w:val="24"/>
      </w:rPr>
    </w:lvl>
    <w:lvl w:ilvl="1">
      <w:start w:val="2"/>
      <w:numFmt w:val="decimal"/>
      <w:isLgl/>
      <w:lvlText w:val="%1.%2."/>
      <w:lvlJc w:val="left"/>
      <w:pPr>
        <w:ind w:left="1080" w:hanging="720"/>
      </w:pPr>
      <w:rPr>
        <w:rFonts w:hint="default"/>
        <w:b/>
        <w:bCs/>
        <w:i w:val="0"/>
        <w:iCs/>
        <w:color w:val="auto"/>
        <w:sz w:val="20"/>
        <w:szCs w:val="20"/>
      </w:rPr>
    </w:lvl>
    <w:lvl w:ilvl="2">
      <w:start w:val="1"/>
      <w:numFmt w:val="decimal"/>
      <w:isLgl/>
      <w:lvlText w:val="%1.%2.%3."/>
      <w:lvlJc w:val="left"/>
      <w:pPr>
        <w:ind w:left="1080" w:hanging="720"/>
      </w:pPr>
      <w:rPr>
        <w:rFonts w:hint="default"/>
        <w:b/>
        <w:bCs/>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87E1610"/>
    <w:multiLevelType w:val="hybridMultilevel"/>
    <w:tmpl w:val="4588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B0F2E"/>
    <w:multiLevelType w:val="multilevel"/>
    <w:tmpl w:val="FD48648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866217"/>
    <w:multiLevelType w:val="multilevel"/>
    <w:tmpl w:val="B79C822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2F9233B3"/>
    <w:multiLevelType w:val="multilevel"/>
    <w:tmpl w:val="1D50F0A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FE22AA2"/>
    <w:multiLevelType w:val="multilevel"/>
    <w:tmpl w:val="2FE22AA2"/>
    <w:lvl w:ilvl="0">
      <w:start w:val="1"/>
      <w:numFmt w:val="decimal"/>
      <w:pStyle w:val="JOMN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0C5CA7"/>
    <w:multiLevelType w:val="multilevel"/>
    <w:tmpl w:val="19F8B42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4223F3B"/>
    <w:multiLevelType w:val="multilevel"/>
    <w:tmpl w:val="F656D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734000"/>
    <w:multiLevelType w:val="multilevel"/>
    <w:tmpl w:val="CA98CCAE"/>
    <w:lvl w:ilvl="0">
      <w:start w:val="1"/>
      <w:numFmt w:val="bullet"/>
      <w:lvlText w:val=""/>
      <w:lvlJc w:val="left"/>
      <w:pPr>
        <w:ind w:left="360" w:hanging="360"/>
      </w:pPr>
      <w:rPr>
        <w:rFonts w:ascii="Symbol" w:hAnsi="Symbol" w:hint="default"/>
      </w:r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3720066B"/>
    <w:multiLevelType w:val="multilevel"/>
    <w:tmpl w:val="3720066B"/>
    <w:lvl w:ilvl="0">
      <w:start w:val="4"/>
      <w:numFmt w:val="decimal"/>
      <w:pStyle w:val="Heading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38DC7CAA"/>
    <w:multiLevelType w:val="multilevel"/>
    <w:tmpl w:val="7E526FE0"/>
    <w:lvl w:ilvl="0">
      <w:start w:val="1"/>
      <w:numFmt w:val="upperRoman"/>
      <w:lvlText w:val="%1."/>
      <w:lvlJc w:val="right"/>
      <w:pPr>
        <w:ind w:left="360" w:hanging="360"/>
      </w:pPr>
      <w:rPr>
        <w:rFonts w:hint="default"/>
      </w:r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3B65510C"/>
    <w:multiLevelType w:val="multilevel"/>
    <w:tmpl w:val="F3A2560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D2C0F8E"/>
    <w:multiLevelType w:val="hybridMultilevel"/>
    <w:tmpl w:val="99B0A1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3F7B087A"/>
    <w:multiLevelType w:val="multilevel"/>
    <w:tmpl w:val="AD14621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3FA4388A"/>
    <w:multiLevelType w:val="multilevel"/>
    <w:tmpl w:val="19F8B42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22D7FB6"/>
    <w:multiLevelType w:val="multilevel"/>
    <w:tmpl w:val="5A70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EE6351"/>
    <w:multiLevelType w:val="multilevel"/>
    <w:tmpl w:val="F6A6F970"/>
    <w:lvl w:ilvl="0">
      <w:start w:val="1"/>
      <w:numFmt w:val="decimal"/>
      <w:lvlText w:val="%1."/>
      <w:lvlJc w:val="left"/>
      <w:pPr>
        <w:ind w:left="360" w:hanging="360"/>
      </w:pPr>
      <w:rPr>
        <w:rFonts w:hint="default"/>
      </w:r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43C10454"/>
    <w:multiLevelType w:val="multilevel"/>
    <w:tmpl w:val="19F8B42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6492EA3"/>
    <w:multiLevelType w:val="hybridMultilevel"/>
    <w:tmpl w:val="B2B672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B1426B"/>
    <w:multiLevelType w:val="hybridMultilevel"/>
    <w:tmpl w:val="9E280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92B2D99"/>
    <w:multiLevelType w:val="multilevel"/>
    <w:tmpl w:val="E5BE58B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09061D1"/>
    <w:multiLevelType w:val="hybridMultilevel"/>
    <w:tmpl w:val="C6542E8C"/>
    <w:lvl w:ilvl="0" w:tplc="0409001B">
      <w:start w:val="1"/>
      <w:numFmt w:val="lowerRoman"/>
      <w:lvlText w:val="%1."/>
      <w:lvlJc w:val="right"/>
      <w:pPr>
        <w:ind w:left="812" w:hanging="360"/>
      </w:p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34" w15:restartNumberingAfterBreak="0">
    <w:nsid w:val="54DB0C8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097190"/>
    <w:multiLevelType w:val="multilevel"/>
    <w:tmpl w:val="CD34DB2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5A6656C2"/>
    <w:multiLevelType w:val="multilevel"/>
    <w:tmpl w:val="300EE866"/>
    <w:lvl w:ilvl="0">
      <w:start w:val="1"/>
      <w:numFmt w:val="upperRoman"/>
      <w:lvlText w:val="%1."/>
      <w:lvlJc w:val="righ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5C172537"/>
    <w:multiLevelType w:val="hybridMultilevel"/>
    <w:tmpl w:val="FE7C8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FD74B4"/>
    <w:multiLevelType w:val="multilevel"/>
    <w:tmpl w:val="E6166A9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951FC1"/>
    <w:multiLevelType w:val="multilevel"/>
    <w:tmpl w:val="19F8B42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0F135B7"/>
    <w:multiLevelType w:val="multilevel"/>
    <w:tmpl w:val="4E466A04"/>
    <w:lvl w:ilvl="0">
      <w:start w:val="1"/>
      <w:numFmt w:val="decimal"/>
      <w:lvlText w:val="%1."/>
      <w:lvlJc w:val="left"/>
      <w:pPr>
        <w:ind w:left="690" w:hanging="420"/>
      </w:pPr>
      <w:rPr>
        <w:rFonts w:hint="default"/>
        <w:sz w:val="22"/>
        <w:szCs w:val="22"/>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629B1496"/>
    <w:multiLevelType w:val="multilevel"/>
    <w:tmpl w:val="DE16A772"/>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4FC546B"/>
    <w:multiLevelType w:val="multilevel"/>
    <w:tmpl w:val="957E990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6B2B296C"/>
    <w:multiLevelType w:val="multilevel"/>
    <w:tmpl w:val="19F8B42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C815E58"/>
    <w:multiLevelType w:val="hybridMultilevel"/>
    <w:tmpl w:val="255217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714095"/>
    <w:multiLevelType w:val="multilevel"/>
    <w:tmpl w:val="CD8E7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012AB0"/>
    <w:multiLevelType w:val="multilevel"/>
    <w:tmpl w:val="B0FA17E6"/>
    <w:lvl w:ilvl="0">
      <w:start w:val="1"/>
      <w:numFmt w:val="upperRoman"/>
      <w:lvlText w:val="%1."/>
      <w:lvlJc w:val="righ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7C5E728D"/>
    <w:multiLevelType w:val="multilevel"/>
    <w:tmpl w:val="A5D45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0323FF"/>
    <w:multiLevelType w:val="hybridMultilevel"/>
    <w:tmpl w:val="529A517A"/>
    <w:lvl w:ilvl="0" w:tplc="465452E8">
      <w:start w:val="1"/>
      <w:numFmt w:val="decimal"/>
      <w:lvlText w:val="%1."/>
      <w:lvlJc w:val="right"/>
      <w:pPr>
        <w:ind w:left="720" w:hanging="360"/>
      </w:pPr>
      <w:rPr>
        <w:rFonts w:ascii="Verdana" w:eastAsia="Times New Roman" w:hAnsi="Verdana" w:cs="Times New Roman"/>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6975253">
    <w:abstractNumId w:val="21"/>
  </w:num>
  <w:num w:numId="2" w16cid:durableId="892615902">
    <w:abstractNumId w:val="0"/>
  </w:num>
  <w:num w:numId="3" w16cid:durableId="245842995">
    <w:abstractNumId w:val="5"/>
  </w:num>
  <w:num w:numId="4" w16cid:durableId="1703168649">
    <w:abstractNumId w:val="17"/>
  </w:num>
  <w:num w:numId="5" w16cid:durableId="965308667">
    <w:abstractNumId w:val="12"/>
  </w:num>
  <w:num w:numId="6" w16cid:durableId="1062797737">
    <w:abstractNumId w:val="31"/>
  </w:num>
  <w:num w:numId="7" w16cid:durableId="2063408607">
    <w:abstractNumId w:val="48"/>
  </w:num>
  <w:num w:numId="8" w16cid:durableId="1434746236">
    <w:abstractNumId w:val="2"/>
  </w:num>
  <w:num w:numId="9" w16cid:durableId="1354644918">
    <w:abstractNumId w:val="34"/>
  </w:num>
  <w:num w:numId="10" w16cid:durableId="813988730">
    <w:abstractNumId w:val="14"/>
  </w:num>
  <w:num w:numId="11" w16cid:durableId="1399552967">
    <w:abstractNumId w:val="10"/>
  </w:num>
  <w:num w:numId="12" w16cid:durableId="1140152096">
    <w:abstractNumId w:val="24"/>
  </w:num>
  <w:num w:numId="13" w16cid:durableId="1400011146">
    <w:abstractNumId w:val="42"/>
  </w:num>
  <w:num w:numId="14" w16cid:durableId="1400130827">
    <w:abstractNumId w:val="13"/>
  </w:num>
  <w:num w:numId="15" w16cid:durableId="589126085">
    <w:abstractNumId w:val="35"/>
  </w:num>
  <w:num w:numId="16" w16cid:durableId="490995968">
    <w:abstractNumId w:val="25"/>
  </w:num>
  <w:num w:numId="17" w16cid:durableId="1652638526">
    <w:abstractNumId w:val="20"/>
  </w:num>
  <w:num w:numId="18" w16cid:durableId="1113668267">
    <w:abstractNumId w:val="28"/>
  </w:num>
  <w:num w:numId="19" w16cid:durableId="1820881920">
    <w:abstractNumId w:val="22"/>
  </w:num>
  <w:num w:numId="20" w16cid:durableId="772558631">
    <w:abstractNumId w:val="9"/>
  </w:num>
  <w:num w:numId="21" w16cid:durableId="497423300">
    <w:abstractNumId w:val="44"/>
  </w:num>
  <w:num w:numId="22" w16cid:durableId="986863575">
    <w:abstractNumId w:val="36"/>
  </w:num>
  <w:num w:numId="23" w16cid:durableId="1119567609">
    <w:abstractNumId w:val="38"/>
  </w:num>
  <w:num w:numId="24" w16cid:durableId="571282368">
    <w:abstractNumId w:val="1"/>
  </w:num>
  <w:num w:numId="25" w16cid:durableId="899365754">
    <w:abstractNumId w:val="46"/>
  </w:num>
  <w:num w:numId="26" w16cid:durableId="829490229">
    <w:abstractNumId w:val="30"/>
  </w:num>
  <w:num w:numId="27" w16cid:durableId="1652052476">
    <w:abstractNumId w:val="3"/>
  </w:num>
  <w:num w:numId="28" w16cid:durableId="33505505">
    <w:abstractNumId w:val="19"/>
  </w:num>
  <w:num w:numId="29" w16cid:durableId="775367617">
    <w:abstractNumId w:val="27"/>
  </w:num>
  <w:num w:numId="30" w16cid:durableId="304897363">
    <w:abstractNumId w:val="11"/>
  </w:num>
  <w:num w:numId="31" w16cid:durableId="384724241">
    <w:abstractNumId w:val="32"/>
  </w:num>
  <w:num w:numId="32" w16cid:durableId="1766263175">
    <w:abstractNumId w:val="16"/>
  </w:num>
  <w:num w:numId="33" w16cid:durableId="1561789157">
    <w:abstractNumId w:val="4"/>
  </w:num>
  <w:num w:numId="34" w16cid:durableId="696589193">
    <w:abstractNumId w:val="37"/>
  </w:num>
  <w:num w:numId="35" w16cid:durableId="299697483">
    <w:abstractNumId w:val="33"/>
  </w:num>
  <w:num w:numId="36" w16cid:durableId="1390955578">
    <w:abstractNumId w:val="47"/>
  </w:num>
  <w:num w:numId="37" w16cid:durableId="474877559">
    <w:abstractNumId w:val="45"/>
  </w:num>
  <w:num w:numId="38" w16cid:durableId="988099828">
    <w:abstractNumId w:val="23"/>
  </w:num>
  <w:num w:numId="39" w16cid:durableId="1105660049">
    <w:abstractNumId w:val="29"/>
  </w:num>
  <w:num w:numId="40" w16cid:durableId="1925334068">
    <w:abstractNumId w:val="43"/>
  </w:num>
  <w:num w:numId="41" w16cid:durableId="1785953488">
    <w:abstractNumId w:val="26"/>
  </w:num>
  <w:num w:numId="42" w16cid:durableId="831333254">
    <w:abstractNumId w:val="18"/>
  </w:num>
  <w:num w:numId="43" w16cid:durableId="1676491305">
    <w:abstractNumId w:val="41"/>
  </w:num>
  <w:num w:numId="44" w16cid:durableId="214465009">
    <w:abstractNumId w:val="39"/>
  </w:num>
  <w:num w:numId="45" w16cid:durableId="831023002">
    <w:abstractNumId w:val="6"/>
  </w:num>
  <w:num w:numId="46" w16cid:durableId="488325711">
    <w:abstractNumId w:val="40"/>
  </w:num>
  <w:num w:numId="47" w16cid:durableId="565065575">
    <w:abstractNumId w:val="7"/>
  </w:num>
  <w:num w:numId="48" w16cid:durableId="1384019137">
    <w:abstractNumId w:val="15"/>
  </w:num>
  <w:num w:numId="49" w16cid:durableId="180180158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xNDA1tzA3NTWwNDJV0lEKTi0uzszPAykwMasFAAq0hKMt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rspszxqt55a1ev0x0xas0rzste5t0vafdf&quot;&gt;My EndNote Library&lt;record-ids&gt;&lt;item&gt;1&lt;/item&gt;&lt;item&gt;4&lt;/item&gt;&lt;item&gt;5&lt;/item&gt;&lt;item&gt;7&lt;/item&gt;&lt;item&gt;8&lt;/item&gt;&lt;item&gt;9&lt;/item&gt;&lt;item&gt;10&lt;/item&gt;&lt;item&gt;11&lt;/item&gt;&lt;item&gt;12&lt;/item&gt;&lt;item&gt;14&lt;/item&gt;&lt;item&gt;15&lt;/item&gt;&lt;item&gt;16&lt;/item&gt;&lt;item&gt;17&lt;/item&gt;&lt;item&gt;24&lt;/item&gt;&lt;/record-ids&gt;&lt;/item&gt;&lt;/Libraries&gt;"/>
  </w:docVars>
  <w:rsids>
    <w:rsidRoot w:val="00755B76"/>
    <w:rsid w:val="A79F1513"/>
    <w:rsid w:val="ED72839D"/>
    <w:rsid w:val="F7E633D8"/>
    <w:rsid w:val="FBE653F7"/>
    <w:rsid w:val="FDFED0A3"/>
    <w:rsid w:val="000002FC"/>
    <w:rsid w:val="000005D6"/>
    <w:rsid w:val="00000627"/>
    <w:rsid w:val="000008B0"/>
    <w:rsid w:val="00001142"/>
    <w:rsid w:val="00001497"/>
    <w:rsid w:val="0000153E"/>
    <w:rsid w:val="000023A1"/>
    <w:rsid w:val="000026DB"/>
    <w:rsid w:val="00002CEC"/>
    <w:rsid w:val="0000366D"/>
    <w:rsid w:val="0000395C"/>
    <w:rsid w:val="00003CE8"/>
    <w:rsid w:val="00003F3F"/>
    <w:rsid w:val="00004B13"/>
    <w:rsid w:val="00004B14"/>
    <w:rsid w:val="00004DE7"/>
    <w:rsid w:val="0000531F"/>
    <w:rsid w:val="00005886"/>
    <w:rsid w:val="00006820"/>
    <w:rsid w:val="000074AB"/>
    <w:rsid w:val="00007644"/>
    <w:rsid w:val="000100C7"/>
    <w:rsid w:val="00011517"/>
    <w:rsid w:val="00011607"/>
    <w:rsid w:val="000116E1"/>
    <w:rsid w:val="000117C0"/>
    <w:rsid w:val="00012A1C"/>
    <w:rsid w:val="00013ECF"/>
    <w:rsid w:val="00014450"/>
    <w:rsid w:val="00016686"/>
    <w:rsid w:val="00017321"/>
    <w:rsid w:val="00017FEF"/>
    <w:rsid w:val="00020DDD"/>
    <w:rsid w:val="00020EED"/>
    <w:rsid w:val="00021279"/>
    <w:rsid w:val="000217D3"/>
    <w:rsid w:val="00021C2B"/>
    <w:rsid w:val="000224F4"/>
    <w:rsid w:val="00022845"/>
    <w:rsid w:val="00022D47"/>
    <w:rsid w:val="00022E3D"/>
    <w:rsid w:val="000231AE"/>
    <w:rsid w:val="000236DB"/>
    <w:rsid w:val="0002384A"/>
    <w:rsid w:val="0002384B"/>
    <w:rsid w:val="000240C8"/>
    <w:rsid w:val="000245EC"/>
    <w:rsid w:val="00024AC1"/>
    <w:rsid w:val="00024D5D"/>
    <w:rsid w:val="0002515A"/>
    <w:rsid w:val="00025D98"/>
    <w:rsid w:val="00025E28"/>
    <w:rsid w:val="00025F23"/>
    <w:rsid w:val="0002648C"/>
    <w:rsid w:val="000268AE"/>
    <w:rsid w:val="00026AD2"/>
    <w:rsid w:val="00026F42"/>
    <w:rsid w:val="0002745A"/>
    <w:rsid w:val="00027CB6"/>
    <w:rsid w:val="00031434"/>
    <w:rsid w:val="00031446"/>
    <w:rsid w:val="0003187B"/>
    <w:rsid w:val="000321C3"/>
    <w:rsid w:val="000332D3"/>
    <w:rsid w:val="0003484D"/>
    <w:rsid w:val="00034DBB"/>
    <w:rsid w:val="00034EAE"/>
    <w:rsid w:val="00035116"/>
    <w:rsid w:val="000353CF"/>
    <w:rsid w:val="00036330"/>
    <w:rsid w:val="00036800"/>
    <w:rsid w:val="00036DCF"/>
    <w:rsid w:val="00037A18"/>
    <w:rsid w:val="0004003F"/>
    <w:rsid w:val="00040284"/>
    <w:rsid w:val="00040F92"/>
    <w:rsid w:val="0004102C"/>
    <w:rsid w:val="000416F2"/>
    <w:rsid w:val="00041B6D"/>
    <w:rsid w:val="000422C7"/>
    <w:rsid w:val="00042570"/>
    <w:rsid w:val="00042A95"/>
    <w:rsid w:val="00042D42"/>
    <w:rsid w:val="00043289"/>
    <w:rsid w:val="00043B2A"/>
    <w:rsid w:val="00043CEE"/>
    <w:rsid w:val="000448F9"/>
    <w:rsid w:val="00044E15"/>
    <w:rsid w:val="00045420"/>
    <w:rsid w:val="00045A09"/>
    <w:rsid w:val="00045E6B"/>
    <w:rsid w:val="0004647D"/>
    <w:rsid w:val="00046673"/>
    <w:rsid w:val="00046E4A"/>
    <w:rsid w:val="000475B4"/>
    <w:rsid w:val="00051580"/>
    <w:rsid w:val="0005216F"/>
    <w:rsid w:val="00053097"/>
    <w:rsid w:val="000531A4"/>
    <w:rsid w:val="00055F1C"/>
    <w:rsid w:val="00056802"/>
    <w:rsid w:val="00056DF1"/>
    <w:rsid w:val="00056F50"/>
    <w:rsid w:val="00061861"/>
    <w:rsid w:val="000618D4"/>
    <w:rsid w:val="00061B90"/>
    <w:rsid w:val="00061C60"/>
    <w:rsid w:val="00062347"/>
    <w:rsid w:val="0006259F"/>
    <w:rsid w:val="00063838"/>
    <w:rsid w:val="00064474"/>
    <w:rsid w:val="00066894"/>
    <w:rsid w:val="0006692F"/>
    <w:rsid w:val="00067E4F"/>
    <w:rsid w:val="00070D5F"/>
    <w:rsid w:val="00070ED3"/>
    <w:rsid w:val="000711BF"/>
    <w:rsid w:val="00071214"/>
    <w:rsid w:val="000721E0"/>
    <w:rsid w:val="000727E0"/>
    <w:rsid w:val="00072933"/>
    <w:rsid w:val="00072AF3"/>
    <w:rsid w:val="00072C8D"/>
    <w:rsid w:val="00075AF6"/>
    <w:rsid w:val="00075CE2"/>
    <w:rsid w:val="00076073"/>
    <w:rsid w:val="00076533"/>
    <w:rsid w:val="000767EC"/>
    <w:rsid w:val="00076B42"/>
    <w:rsid w:val="00077449"/>
    <w:rsid w:val="00080DBF"/>
    <w:rsid w:val="00080DD9"/>
    <w:rsid w:val="00080E87"/>
    <w:rsid w:val="000810BC"/>
    <w:rsid w:val="00082234"/>
    <w:rsid w:val="0008309F"/>
    <w:rsid w:val="00083913"/>
    <w:rsid w:val="00085315"/>
    <w:rsid w:val="00085C55"/>
    <w:rsid w:val="00085E37"/>
    <w:rsid w:val="0008605B"/>
    <w:rsid w:val="0008642C"/>
    <w:rsid w:val="000864C4"/>
    <w:rsid w:val="0008666E"/>
    <w:rsid w:val="000867E4"/>
    <w:rsid w:val="0008685F"/>
    <w:rsid w:val="000869C8"/>
    <w:rsid w:val="000871F3"/>
    <w:rsid w:val="00087552"/>
    <w:rsid w:val="00087B11"/>
    <w:rsid w:val="0009116B"/>
    <w:rsid w:val="0009136A"/>
    <w:rsid w:val="0009229B"/>
    <w:rsid w:val="0009229D"/>
    <w:rsid w:val="00092511"/>
    <w:rsid w:val="00092715"/>
    <w:rsid w:val="00092E71"/>
    <w:rsid w:val="000935B0"/>
    <w:rsid w:val="00093E24"/>
    <w:rsid w:val="00093F85"/>
    <w:rsid w:val="00094C1E"/>
    <w:rsid w:val="00095744"/>
    <w:rsid w:val="000958D8"/>
    <w:rsid w:val="00095F8B"/>
    <w:rsid w:val="00096092"/>
    <w:rsid w:val="000A02B4"/>
    <w:rsid w:val="000A02F0"/>
    <w:rsid w:val="000A06AE"/>
    <w:rsid w:val="000A0CEC"/>
    <w:rsid w:val="000A13FA"/>
    <w:rsid w:val="000A173B"/>
    <w:rsid w:val="000A2549"/>
    <w:rsid w:val="000A5B9F"/>
    <w:rsid w:val="000A61D1"/>
    <w:rsid w:val="000A6251"/>
    <w:rsid w:val="000A67F3"/>
    <w:rsid w:val="000A6838"/>
    <w:rsid w:val="000A794B"/>
    <w:rsid w:val="000A7D5F"/>
    <w:rsid w:val="000A7EF3"/>
    <w:rsid w:val="000B002F"/>
    <w:rsid w:val="000B0509"/>
    <w:rsid w:val="000B06B7"/>
    <w:rsid w:val="000B0E28"/>
    <w:rsid w:val="000B1363"/>
    <w:rsid w:val="000B1F8F"/>
    <w:rsid w:val="000B2829"/>
    <w:rsid w:val="000B2877"/>
    <w:rsid w:val="000B28A4"/>
    <w:rsid w:val="000B3B6E"/>
    <w:rsid w:val="000B3CC1"/>
    <w:rsid w:val="000B6782"/>
    <w:rsid w:val="000B7117"/>
    <w:rsid w:val="000B7279"/>
    <w:rsid w:val="000B7C73"/>
    <w:rsid w:val="000B7E06"/>
    <w:rsid w:val="000C0115"/>
    <w:rsid w:val="000C06F2"/>
    <w:rsid w:val="000C0E80"/>
    <w:rsid w:val="000C165B"/>
    <w:rsid w:val="000C1CFD"/>
    <w:rsid w:val="000C2839"/>
    <w:rsid w:val="000C2D96"/>
    <w:rsid w:val="000C5337"/>
    <w:rsid w:val="000C585E"/>
    <w:rsid w:val="000C5D18"/>
    <w:rsid w:val="000C6600"/>
    <w:rsid w:val="000C68AB"/>
    <w:rsid w:val="000D0306"/>
    <w:rsid w:val="000D0862"/>
    <w:rsid w:val="000D1843"/>
    <w:rsid w:val="000D2AD3"/>
    <w:rsid w:val="000D33FC"/>
    <w:rsid w:val="000D3863"/>
    <w:rsid w:val="000D397B"/>
    <w:rsid w:val="000D4C65"/>
    <w:rsid w:val="000D5A8A"/>
    <w:rsid w:val="000D62F1"/>
    <w:rsid w:val="000D6895"/>
    <w:rsid w:val="000D6B3D"/>
    <w:rsid w:val="000D6C9C"/>
    <w:rsid w:val="000D757A"/>
    <w:rsid w:val="000D75A6"/>
    <w:rsid w:val="000D7FFD"/>
    <w:rsid w:val="000E0205"/>
    <w:rsid w:val="000E11C0"/>
    <w:rsid w:val="000E2B92"/>
    <w:rsid w:val="000E42F6"/>
    <w:rsid w:val="000E45CB"/>
    <w:rsid w:val="000E4AB8"/>
    <w:rsid w:val="000E4D14"/>
    <w:rsid w:val="000E6978"/>
    <w:rsid w:val="000E70C5"/>
    <w:rsid w:val="000F0A97"/>
    <w:rsid w:val="000F0D71"/>
    <w:rsid w:val="000F0F00"/>
    <w:rsid w:val="000F263F"/>
    <w:rsid w:val="000F2FF1"/>
    <w:rsid w:val="000F3133"/>
    <w:rsid w:val="000F40BF"/>
    <w:rsid w:val="000F47D9"/>
    <w:rsid w:val="000F4C42"/>
    <w:rsid w:val="000F5C24"/>
    <w:rsid w:val="000F6C10"/>
    <w:rsid w:val="000F7134"/>
    <w:rsid w:val="000F7828"/>
    <w:rsid w:val="000F7CE5"/>
    <w:rsid w:val="000F7CF3"/>
    <w:rsid w:val="000F7FFE"/>
    <w:rsid w:val="00100789"/>
    <w:rsid w:val="0010190F"/>
    <w:rsid w:val="00101C91"/>
    <w:rsid w:val="00102119"/>
    <w:rsid w:val="00102251"/>
    <w:rsid w:val="0010285C"/>
    <w:rsid w:val="00102B51"/>
    <w:rsid w:val="00102FDB"/>
    <w:rsid w:val="00103489"/>
    <w:rsid w:val="001036BA"/>
    <w:rsid w:val="00103BF0"/>
    <w:rsid w:val="001045FA"/>
    <w:rsid w:val="0010645B"/>
    <w:rsid w:val="00106D88"/>
    <w:rsid w:val="001072B5"/>
    <w:rsid w:val="001072CA"/>
    <w:rsid w:val="001074BE"/>
    <w:rsid w:val="00107E86"/>
    <w:rsid w:val="00110BC9"/>
    <w:rsid w:val="00111183"/>
    <w:rsid w:val="0011126A"/>
    <w:rsid w:val="00111D99"/>
    <w:rsid w:val="001124B7"/>
    <w:rsid w:val="001136B4"/>
    <w:rsid w:val="00113C30"/>
    <w:rsid w:val="00113F8D"/>
    <w:rsid w:val="00114319"/>
    <w:rsid w:val="001145F2"/>
    <w:rsid w:val="00114CA3"/>
    <w:rsid w:val="00114E62"/>
    <w:rsid w:val="00115641"/>
    <w:rsid w:val="001156C7"/>
    <w:rsid w:val="00115FAD"/>
    <w:rsid w:val="001165C5"/>
    <w:rsid w:val="001166C1"/>
    <w:rsid w:val="001176EB"/>
    <w:rsid w:val="00120467"/>
    <w:rsid w:val="001204F6"/>
    <w:rsid w:val="001205ED"/>
    <w:rsid w:val="00120729"/>
    <w:rsid w:val="00120B9A"/>
    <w:rsid w:val="00120E0F"/>
    <w:rsid w:val="00121002"/>
    <w:rsid w:val="00121413"/>
    <w:rsid w:val="00121814"/>
    <w:rsid w:val="00121F93"/>
    <w:rsid w:val="00122258"/>
    <w:rsid w:val="001228DD"/>
    <w:rsid w:val="00122E53"/>
    <w:rsid w:val="00123EB5"/>
    <w:rsid w:val="00124D88"/>
    <w:rsid w:val="00124DE0"/>
    <w:rsid w:val="0012525F"/>
    <w:rsid w:val="0012542F"/>
    <w:rsid w:val="00125729"/>
    <w:rsid w:val="001267D2"/>
    <w:rsid w:val="00126A3E"/>
    <w:rsid w:val="00126D55"/>
    <w:rsid w:val="00126EBB"/>
    <w:rsid w:val="00127C9C"/>
    <w:rsid w:val="001304A7"/>
    <w:rsid w:val="00130878"/>
    <w:rsid w:val="00130D54"/>
    <w:rsid w:val="00131368"/>
    <w:rsid w:val="001317E5"/>
    <w:rsid w:val="00131E8E"/>
    <w:rsid w:val="0013391C"/>
    <w:rsid w:val="00133D74"/>
    <w:rsid w:val="00136C53"/>
    <w:rsid w:val="00136DEA"/>
    <w:rsid w:val="0013769F"/>
    <w:rsid w:val="00140520"/>
    <w:rsid w:val="00140F1A"/>
    <w:rsid w:val="00141384"/>
    <w:rsid w:val="001414B8"/>
    <w:rsid w:val="00141651"/>
    <w:rsid w:val="0014177D"/>
    <w:rsid w:val="0014247D"/>
    <w:rsid w:val="00143EE4"/>
    <w:rsid w:val="001441EB"/>
    <w:rsid w:val="00144815"/>
    <w:rsid w:val="00144C97"/>
    <w:rsid w:val="001459E7"/>
    <w:rsid w:val="00146598"/>
    <w:rsid w:val="00146CCA"/>
    <w:rsid w:val="00146D74"/>
    <w:rsid w:val="00147111"/>
    <w:rsid w:val="0014714E"/>
    <w:rsid w:val="001478BD"/>
    <w:rsid w:val="0015046E"/>
    <w:rsid w:val="00150E8E"/>
    <w:rsid w:val="001518FD"/>
    <w:rsid w:val="00152266"/>
    <w:rsid w:val="00152550"/>
    <w:rsid w:val="00153843"/>
    <w:rsid w:val="00155E22"/>
    <w:rsid w:val="00156674"/>
    <w:rsid w:val="001572BF"/>
    <w:rsid w:val="00157917"/>
    <w:rsid w:val="00157E52"/>
    <w:rsid w:val="00160091"/>
    <w:rsid w:val="00160E01"/>
    <w:rsid w:val="00160E03"/>
    <w:rsid w:val="0016138C"/>
    <w:rsid w:val="0016167D"/>
    <w:rsid w:val="00161ACE"/>
    <w:rsid w:val="00161D65"/>
    <w:rsid w:val="00161E46"/>
    <w:rsid w:val="00162234"/>
    <w:rsid w:val="001627D6"/>
    <w:rsid w:val="00162AA1"/>
    <w:rsid w:val="00162BA6"/>
    <w:rsid w:val="001646B0"/>
    <w:rsid w:val="001653E2"/>
    <w:rsid w:val="00165418"/>
    <w:rsid w:val="00165830"/>
    <w:rsid w:val="001664F0"/>
    <w:rsid w:val="00166E73"/>
    <w:rsid w:val="001679F6"/>
    <w:rsid w:val="00170014"/>
    <w:rsid w:val="0017097A"/>
    <w:rsid w:val="00170D69"/>
    <w:rsid w:val="00171109"/>
    <w:rsid w:val="001720E8"/>
    <w:rsid w:val="00172110"/>
    <w:rsid w:val="001721F9"/>
    <w:rsid w:val="00172383"/>
    <w:rsid w:val="00172490"/>
    <w:rsid w:val="00172562"/>
    <w:rsid w:val="00172E61"/>
    <w:rsid w:val="00173B00"/>
    <w:rsid w:val="00173DDA"/>
    <w:rsid w:val="00174761"/>
    <w:rsid w:val="00177486"/>
    <w:rsid w:val="0017790F"/>
    <w:rsid w:val="00177EDD"/>
    <w:rsid w:val="00180A8F"/>
    <w:rsid w:val="00180FEC"/>
    <w:rsid w:val="00181092"/>
    <w:rsid w:val="00181D85"/>
    <w:rsid w:val="00182633"/>
    <w:rsid w:val="00182EA2"/>
    <w:rsid w:val="001834E6"/>
    <w:rsid w:val="00183896"/>
    <w:rsid w:val="0018391B"/>
    <w:rsid w:val="00183943"/>
    <w:rsid w:val="001843F0"/>
    <w:rsid w:val="00185971"/>
    <w:rsid w:val="00185BA3"/>
    <w:rsid w:val="00185BC7"/>
    <w:rsid w:val="00185C88"/>
    <w:rsid w:val="00185CDF"/>
    <w:rsid w:val="00186EE9"/>
    <w:rsid w:val="00187201"/>
    <w:rsid w:val="001874C6"/>
    <w:rsid w:val="00187591"/>
    <w:rsid w:val="00187F19"/>
    <w:rsid w:val="00190E5A"/>
    <w:rsid w:val="001915A8"/>
    <w:rsid w:val="00191B83"/>
    <w:rsid w:val="001928F9"/>
    <w:rsid w:val="00192B35"/>
    <w:rsid w:val="00193894"/>
    <w:rsid w:val="00195628"/>
    <w:rsid w:val="00195A3E"/>
    <w:rsid w:val="00195F50"/>
    <w:rsid w:val="0019660C"/>
    <w:rsid w:val="00196903"/>
    <w:rsid w:val="00196F8C"/>
    <w:rsid w:val="0019737E"/>
    <w:rsid w:val="001A08F4"/>
    <w:rsid w:val="001A0C44"/>
    <w:rsid w:val="001A10D5"/>
    <w:rsid w:val="001A1173"/>
    <w:rsid w:val="001A168F"/>
    <w:rsid w:val="001A241B"/>
    <w:rsid w:val="001A2B15"/>
    <w:rsid w:val="001A3209"/>
    <w:rsid w:val="001A3E34"/>
    <w:rsid w:val="001A5C8F"/>
    <w:rsid w:val="001A5D2E"/>
    <w:rsid w:val="001A66D2"/>
    <w:rsid w:val="001A73C4"/>
    <w:rsid w:val="001A7C87"/>
    <w:rsid w:val="001B0FE6"/>
    <w:rsid w:val="001B21D8"/>
    <w:rsid w:val="001B28E0"/>
    <w:rsid w:val="001B3205"/>
    <w:rsid w:val="001B34F9"/>
    <w:rsid w:val="001B36AD"/>
    <w:rsid w:val="001B3EFF"/>
    <w:rsid w:val="001B3F74"/>
    <w:rsid w:val="001B423E"/>
    <w:rsid w:val="001B42F4"/>
    <w:rsid w:val="001B4D3C"/>
    <w:rsid w:val="001B5CB7"/>
    <w:rsid w:val="001B65BE"/>
    <w:rsid w:val="001B68F8"/>
    <w:rsid w:val="001C005E"/>
    <w:rsid w:val="001C08CF"/>
    <w:rsid w:val="001C1047"/>
    <w:rsid w:val="001C11CF"/>
    <w:rsid w:val="001C12F0"/>
    <w:rsid w:val="001C1379"/>
    <w:rsid w:val="001C26E4"/>
    <w:rsid w:val="001C2CA5"/>
    <w:rsid w:val="001C2EB2"/>
    <w:rsid w:val="001C333F"/>
    <w:rsid w:val="001C353C"/>
    <w:rsid w:val="001C4488"/>
    <w:rsid w:val="001C4C55"/>
    <w:rsid w:val="001C4E64"/>
    <w:rsid w:val="001C5E8A"/>
    <w:rsid w:val="001C6DBF"/>
    <w:rsid w:val="001C72E6"/>
    <w:rsid w:val="001C78AA"/>
    <w:rsid w:val="001D00BA"/>
    <w:rsid w:val="001D05A6"/>
    <w:rsid w:val="001D0D34"/>
    <w:rsid w:val="001D1428"/>
    <w:rsid w:val="001D1516"/>
    <w:rsid w:val="001D16EF"/>
    <w:rsid w:val="001D3599"/>
    <w:rsid w:val="001D3F6D"/>
    <w:rsid w:val="001D5254"/>
    <w:rsid w:val="001D6095"/>
    <w:rsid w:val="001D7038"/>
    <w:rsid w:val="001D7768"/>
    <w:rsid w:val="001E067E"/>
    <w:rsid w:val="001E11C3"/>
    <w:rsid w:val="001E1A3F"/>
    <w:rsid w:val="001E1F61"/>
    <w:rsid w:val="001E2817"/>
    <w:rsid w:val="001E462F"/>
    <w:rsid w:val="001E5235"/>
    <w:rsid w:val="001E560E"/>
    <w:rsid w:val="001E617E"/>
    <w:rsid w:val="001E6D85"/>
    <w:rsid w:val="001E755E"/>
    <w:rsid w:val="001F0922"/>
    <w:rsid w:val="001F1567"/>
    <w:rsid w:val="001F1578"/>
    <w:rsid w:val="001F17AB"/>
    <w:rsid w:val="001F20B8"/>
    <w:rsid w:val="001F2AA3"/>
    <w:rsid w:val="001F2D96"/>
    <w:rsid w:val="001F31B5"/>
    <w:rsid w:val="001F32A3"/>
    <w:rsid w:val="001F3841"/>
    <w:rsid w:val="001F38FD"/>
    <w:rsid w:val="001F40F4"/>
    <w:rsid w:val="001F42EB"/>
    <w:rsid w:val="001F4572"/>
    <w:rsid w:val="001F54E3"/>
    <w:rsid w:val="001F683F"/>
    <w:rsid w:val="001F6B8B"/>
    <w:rsid w:val="002001FF"/>
    <w:rsid w:val="00200D75"/>
    <w:rsid w:val="00200EBF"/>
    <w:rsid w:val="00202255"/>
    <w:rsid w:val="0020293B"/>
    <w:rsid w:val="0020295B"/>
    <w:rsid w:val="00202C63"/>
    <w:rsid w:val="00202E53"/>
    <w:rsid w:val="00204066"/>
    <w:rsid w:val="0020439A"/>
    <w:rsid w:val="0020578F"/>
    <w:rsid w:val="00205BAC"/>
    <w:rsid w:val="00206040"/>
    <w:rsid w:val="00206BE5"/>
    <w:rsid w:val="002075C4"/>
    <w:rsid w:val="00207F9A"/>
    <w:rsid w:val="002103F3"/>
    <w:rsid w:val="0021061D"/>
    <w:rsid w:val="00211BBA"/>
    <w:rsid w:val="00213295"/>
    <w:rsid w:val="002136C8"/>
    <w:rsid w:val="00213F79"/>
    <w:rsid w:val="0021419C"/>
    <w:rsid w:val="00214217"/>
    <w:rsid w:val="002155DB"/>
    <w:rsid w:val="00215DD0"/>
    <w:rsid w:val="00215E32"/>
    <w:rsid w:val="0021776D"/>
    <w:rsid w:val="00217AEA"/>
    <w:rsid w:val="00217AF1"/>
    <w:rsid w:val="0022074E"/>
    <w:rsid w:val="0022096D"/>
    <w:rsid w:val="00220ED7"/>
    <w:rsid w:val="0022164B"/>
    <w:rsid w:val="00221BA3"/>
    <w:rsid w:val="00223574"/>
    <w:rsid w:val="00223C81"/>
    <w:rsid w:val="00225960"/>
    <w:rsid w:val="00225DE7"/>
    <w:rsid w:val="002263F9"/>
    <w:rsid w:val="002272B6"/>
    <w:rsid w:val="00227B7D"/>
    <w:rsid w:val="002318CD"/>
    <w:rsid w:val="00231A18"/>
    <w:rsid w:val="002325E1"/>
    <w:rsid w:val="00232F36"/>
    <w:rsid w:val="00232FC6"/>
    <w:rsid w:val="00232FE9"/>
    <w:rsid w:val="00234950"/>
    <w:rsid w:val="00235798"/>
    <w:rsid w:val="002358EA"/>
    <w:rsid w:val="002361AB"/>
    <w:rsid w:val="0023675B"/>
    <w:rsid w:val="00237B1D"/>
    <w:rsid w:val="00237CE4"/>
    <w:rsid w:val="00237D59"/>
    <w:rsid w:val="002406EB"/>
    <w:rsid w:val="002412EE"/>
    <w:rsid w:val="00241464"/>
    <w:rsid w:val="002414DF"/>
    <w:rsid w:val="00243F34"/>
    <w:rsid w:val="002440DA"/>
    <w:rsid w:val="002440F5"/>
    <w:rsid w:val="00244B18"/>
    <w:rsid w:val="00244BB7"/>
    <w:rsid w:val="00245362"/>
    <w:rsid w:val="002454E4"/>
    <w:rsid w:val="002459EE"/>
    <w:rsid w:val="0024616A"/>
    <w:rsid w:val="002463CC"/>
    <w:rsid w:val="00246B83"/>
    <w:rsid w:val="00246C75"/>
    <w:rsid w:val="002470EC"/>
    <w:rsid w:val="002477CA"/>
    <w:rsid w:val="0024789D"/>
    <w:rsid w:val="00247C43"/>
    <w:rsid w:val="00247FB2"/>
    <w:rsid w:val="002506F7"/>
    <w:rsid w:val="00250A31"/>
    <w:rsid w:val="00250C09"/>
    <w:rsid w:val="0025150D"/>
    <w:rsid w:val="00251D5B"/>
    <w:rsid w:val="00251DF0"/>
    <w:rsid w:val="002531B7"/>
    <w:rsid w:val="00253820"/>
    <w:rsid w:val="00253C3E"/>
    <w:rsid w:val="00253D6A"/>
    <w:rsid w:val="00254FFA"/>
    <w:rsid w:val="00255137"/>
    <w:rsid w:val="00255384"/>
    <w:rsid w:val="00255C79"/>
    <w:rsid w:val="00256083"/>
    <w:rsid w:val="00256688"/>
    <w:rsid w:val="00256E68"/>
    <w:rsid w:val="00256F59"/>
    <w:rsid w:val="002571A7"/>
    <w:rsid w:val="00260531"/>
    <w:rsid w:val="00260592"/>
    <w:rsid w:val="00261545"/>
    <w:rsid w:val="0026154D"/>
    <w:rsid w:val="0026246E"/>
    <w:rsid w:val="00262906"/>
    <w:rsid w:val="00262B3D"/>
    <w:rsid w:val="00262F66"/>
    <w:rsid w:val="00263225"/>
    <w:rsid w:val="002639EB"/>
    <w:rsid w:val="00264CE7"/>
    <w:rsid w:val="00264DC8"/>
    <w:rsid w:val="00265526"/>
    <w:rsid w:val="00265DAA"/>
    <w:rsid w:val="002661B2"/>
    <w:rsid w:val="0026653E"/>
    <w:rsid w:val="002669DB"/>
    <w:rsid w:val="002670F9"/>
    <w:rsid w:val="0027022B"/>
    <w:rsid w:val="002709BC"/>
    <w:rsid w:val="00270F0F"/>
    <w:rsid w:val="00271AC2"/>
    <w:rsid w:val="002730ED"/>
    <w:rsid w:val="002733F9"/>
    <w:rsid w:val="0027389B"/>
    <w:rsid w:val="002739C4"/>
    <w:rsid w:val="00273DD6"/>
    <w:rsid w:val="00274604"/>
    <w:rsid w:val="002766EF"/>
    <w:rsid w:val="00276F66"/>
    <w:rsid w:val="00280255"/>
    <w:rsid w:val="002806D8"/>
    <w:rsid w:val="0028140D"/>
    <w:rsid w:val="00282046"/>
    <w:rsid w:val="00283B94"/>
    <w:rsid w:val="00283CBA"/>
    <w:rsid w:val="00283DA7"/>
    <w:rsid w:val="002844B6"/>
    <w:rsid w:val="00284738"/>
    <w:rsid w:val="002847A9"/>
    <w:rsid w:val="00284926"/>
    <w:rsid w:val="00285C60"/>
    <w:rsid w:val="00286532"/>
    <w:rsid w:val="0028657E"/>
    <w:rsid w:val="002867A8"/>
    <w:rsid w:val="00286ABD"/>
    <w:rsid w:val="00287289"/>
    <w:rsid w:val="00287E35"/>
    <w:rsid w:val="00290309"/>
    <w:rsid w:val="00290A09"/>
    <w:rsid w:val="00290F67"/>
    <w:rsid w:val="00291528"/>
    <w:rsid w:val="00291590"/>
    <w:rsid w:val="00292BA9"/>
    <w:rsid w:val="00293977"/>
    <w:rsid w:val="00294581"/>
    <w:rsid w:val="00294E03"/>
    <w:rsid w:val="00294E98"/>
    <w:rsid w:val="00294EEB"/>
    <w:rsid w:val="00295C34"/>
    <w:rsid w:val="00295CEC"/>
    <w:rsid w:val="00297167"/>
    <w:rsid w:val="00297774"/>
    <w:rsid w:val="00297806"/>
    <w:rsid w:val="00297BB4"/>
    <w:rsid w:val="00297F76"/>
    <w:rsid w:val="002A09B5"/>
    <w:rsid w:val="002A1756"/>
    <w:rsid w:val="002A214B"/>
    <w:rsid w:val="002A50C2"/>
    <w:rsid w:val="002A555D"/>
    <w:rsid w:val="002A5C68"/>
    <w:rsid w:val="002A6143"/>
    <w:rsid w:val="002A71CE"/>
    <w:rsid w:val="002A76B9"/>
    <w:rsid w:val="002A7B98"/>
    <w:rsid w:val="002A7BA5"/>
    <w:rsid w:val="002A7DC0"/>
    <w:rsid w:val="002B00F9"/>
    <w:rsid w:val="002B0394"/>
    <w:rsid w:val="002B2383"/>
    <w:rsid w:val="002B35FD"/>
    <w:rsid w:val="002B39D1"/>
    <w:rsid w:val="002B3DA6"/>
    <w:rsid w:val="002B4956"/>
    <w:rsid w:val="002B4FFD"/>
    <w:rsid w:val="002B51CA"/>
    <w:rsid w:val="002B53B1"/>
    <w:rsid w:val="002B58E0"/>
    <w:rsid w:val="002B6133"/>
    <w:rsid w:val="002C0784"/>
    <w:rsid w:val="002C13EA"/>
    <w:rsid w:val="002C1B83"/>
    <w:rsid w:val="002C2464"/>
    <w:rsid w:val="002C2A6F"/>
    <w:rsid w:val="002C360F"/>
    <w:rsid w:val="002C3756"/>
    <w:rsid w:val="002C38A0"/>
    <w:rsid w:val="002C509B"/>
    <w:rsid w:val="002C50ED"/>
    <w:rsid w:val="002C5686"/>
    <w:rsid w:val="002C58A3"/>
    <w:rsid w:val="002C5FD9"/>
    <w:rsid w:val="002C66EE"/>
    <w:rsid w:val="002C6933"/>
    <w:rsid w:val="002C6A67"/>
    <w:rsid w:val="002C6AE0"/>
    <w:rsid w:val="002C6B9E"/>
    <w:rsid w:val="002C7210"/>
    <w:rsid w:val="002C7319"/>
    <w:rsid w:val="002D0175"/>
    <w:rsid w:val="002D0445"/>
    <w:rsid w:val="002D067E"/>
    <w:rsid w:val="002D0726"/>
    <w:rsid w:val="002D09D9"/>
    <w:rsid w:val="002D0E74"/>
    <w:rsid w:val="002D1337"/>
    <w:rsid w:val="002D16AA"/>
    <w:rsid w:val="002D1AD7"/>
    <w:rsid w:val="002D27C1"/>
    <w:rsid w:val="002D2FDC"/>
    <w:rsid w:val="002D3103"/>
    <w:rsid w:val="002D3576"/>
    <w:rsid w:val="002D36A1"/>
    <w:rsid w:val="002D41A4"/>
    <w:rsid w:val="002D4A5F"/>
    <w:rsid w:val="002D514B"/>
    <w:rsid w:val="002D58E0"/>
    <w:rsid w:val="002D617D"/>
    <w:rsid w:val="002D62C6"/>
    <w:rsid w:val="002D6776"/>
    <w:rsid w:val="002D6A66"/>
    <w:rsid w:val="002D72BE"/>
    <w:rsid w:val="002D7310"/>
    <w:rsid w:val="002D7549"/>
    <w:rsid w:val="002D7C12"/>
    <w:rsid w:val="002D7C1F"/>
    <w:rsid w:val="002E031D"/>
    <w:rsid w:val="002E0545"/>
    <w:rsid w:val="002E1006"/>
    <w:rsid w:val="002E10B5"/>
    <w:rsid w:val="002E16AA"/>
    <w:rsid w:val="002E1868"/>
    <w:rsid w:val="002E1DF4"/>
    <w:rsid w:val="002E3BC4"/>
    <w:rsid w:val="002E43DE"/>
    <w:rsid w:val="002E5601"/>
    <w:rsid w:val="002E584F"/>
    <w:rsid w:val="002E6345"/>
    <w:rsid w:val="002E6FDE"/>
    <w:rsid w:val="002E709B"/>
    <w:rsid w:val="002F094A"/>
    <w:rsid w:val="002F18F3"/>
    <w:rsid w:val="002F2717"/>
    <w:rsid w:val="002F28F8"/>
    <w:rsid w:val="002F2D02"/>
    <w:rsid w:val="002F462C"/>
    <w:rsid w:val="002F4CDC"/>
    <w:rsid w:val="002F5609"/>
    <w:rsid w:val="002F59E2"/>
    <w:rsid w:val="002F61E6"/>
    <w:rsid w:val="002F65F4"/>
    <w:rsid w:val="002F677A"/>
    <w:rsid w:val="002F6B00"/>
    <w:rsid w:val="002F79D8"/>
    <w:rsid w:val="002F7D97"/>
    <w:rsid w:val="002F7E0A"/>
    <w:rsid w:val="0030031C"/>
    <w:rsid w:val="003006FB"/>
    <w:rsid w:val="00300912"/>
    <w:rsid w:val="00300BF3"/>
    <w:rsid w:val="00300DDF"/>
    <w:rsid w:val="00301CB6"/>
    <w:rsid w:val="00301E42"/>
    <w:rsid w:val="00301F39"/>
    <w:rsid w:val="00302446"/>
    <w:rsid w:val="00302CA3"/>
    <w:rsid w:val="00302FF0"/>
    <w:rsid w:val="00303B71"/>
    <w:rsid w:val="00304F48"/>
    <w:rsid w:val="0030506E"/>
    <w:rsid w:val="00305AC8"/>
    <w:rsid w:val="00305BA8"/>
    <w:rsid w:val="00306960"/>
    <w:rsid w:val="00306D6A"/>
    <w:rsid w:val="00307417"/>
    <w:rsid w:val="0030767A"/>
    <w:rsid w:val="00307EF5"/>
    <w:rsid w:val="003113BA"/>
    <w:rsid w:val="0031206C"/>
    <w:rsid w:val="0031315D"/>
    <w:rsid w:val="00313598"/>
    <w:rsid w:val="00314642"/>
    <w:rsid w:val="0031464C"/>
    <w:rsid w:val="0031512E"/>
    <w:rsid w:val="003156C0"/>
    <w:rsid w:val="00316173"/>
    <w:rsid w:val="00316EEF"/>
    <w:rsid w:val="0031731C"/>
    <w:rsid w:val="00317334"/>
    <w:rsid w:val="003206C5"/>
    <w:rsid w:val="003213C0"/>
    <w:rsid w:val="00321825"/>
    <w:rsid w:val="003227C6"/>
    <w:rsid w:val="00323B26"/>
    <w:rsid w:val="00324412"/>
    <w:rsid w:val="0032569C"/>
    <w:rsid w:val="003258FD"/>
    <w:rsid w:val="00325EEB"/>
    <w:rsid w:val="003261A8"/>
    <w:rsid w:val="00326C28"/>
    <w:rsid w:val="00326ED3"/>
    <w:rsid w:val="00327652"/>
    <w:rsid w:val="0032779F"/>
    <w:rsid w:val="0033151C"/>
    <w:rsid w:val="003320BC"/>
    <w:rsid w:val="0033359E"/>
    <w:rsid w:val="00333C0C"/>
    <w:rsid w:val="003346A4"/>
    <w:rsid w:val="00334878"/>
    <w:rsid w:val="00335FF7"/>
    <w:rsid w:val="00337CA9"/>
    <w:rsid w:val="00337F30"/>
    <w:rsid w:val="00340E25"/>
    <w:rsid w:val="00342DC6"/>
    <w:rsid w:val="00343339"/>
    <w:rsid w:val="003449C7"/>
    <w:rsid w:val="00345E51"/>
    <w:rsid w:val="00346E8F"/>
    <w:rsid w:val="0034713F"/>
    <w:rsid w:val="00347968"/>
    <w:rsid w:val="00347E67"/>
    <w:rsid w:val="00347F5B"/>
    <w:rsid w:val="00351D30"/>
    <w:rsid w:val="00351D90"/>
    <w:rsid w:val="00352791"/>
    <w:rsid w:val="00352CB7"/>
    <w:rsid w:val="00352CEF"/>
    <w:rsid w:val="00352FBF"/>
    <w:rsid w:val="003538BD"/>
    <w:rsid w:val="00353ECA"/>
    <w:rsid w:val="0035477B"/>
    <w:rsid w:val="003549B9"/>
    <w:rsid w:val="00354FB6"/>
    <w:rsid w:val="00355356"/>
    <w:rsid w:val="00355365"/>
    <w:rsid w:val="003565FD"/>
    <w:rsid w:val="00356866"/>
    <w:rsid w:val="00356EF9"/>
    <w:rsid w:val="00356FEC"/>
    <w:rsid w:val="00361032"/>
    <w:rsid w:val="00361633"/>
    <w:rsid w:val="00361A5F"/>
    <w:rsid w:val="00362420"/>
    <w:rsid w:val="00362916"/>
    <w:rsid w:val="00362AB9"/>
    <w:rsid w:val="00362EB4"/>
    <w:rsid w:val="00362ED3"/>
    <w:rsid w:val="0036321C"/>
    <w:rsid w:val="00363DE2"/>
    <w:rsid w:val="003644B6"/>
    <w:rsid w:val="00365217"/>
    <w:rsid w:val="00365386"/>
    <w:rsid w:val="0036599C"/>
    <w:rsid w:val="0036725B"/>
    <w:rsid w:val="00367F2F"/>
    <w:rsid w:val="00370063"/>
    <w:rsid w:val="003708A6"/>
    <w:rsid w:val="00370A77"/>
    <w:rsid w:val="00370DE6"/>
    <w:rsid w:val="00370FCA"/>
    <w:rsid w:val="00371557"/>
    <w:rsid w:val="00371572"/>
    <w:rsid w:val="003723E7"/>
    <w:rsid w:val="00372401"/>
    <w:rsid w:val="00372735"/>
    <w:rsid w:val="00372CDD"/>
    <w:rsid w:val="00373099"/>
    <w:rsid w:val="003733C6"/>
    <w:rsid w:val="00373ADF"/>
    <w:rsid w:val="00373E56"/>
    <w:rsid w:val="003744B7"/>
    <w:rsid w:val="00374E70"/>
    <w:rsid w:val="00375DE9"/>
    <w:rsid w:val="00375F97"/>
    <w:rsid w:val="00375FD3"/>
    <w:rsid w:val="003760A0"/>
    <w:rsid w:val="00376154"/>
    <w:rsid w:val="00376600"/>
    <w:rsid w:val="00377EE9"/>
    <w:rsid w:val="0038027D"/>
    <w:rsid w:val="00380DBC"/>
    <w:rsid w:val="003812B4"/>
    <w:rsid w:val="00381E25"/>
    <w:rsid w:val="0038305F"/>
    <w:rsid w:val="003832B9"/>
    <w:rsid w:val="00383632"/>
    <w:rsid w:val="003841C2"/>
    <w:rsid w:val="003842C0"/>
    <w:rsid w:val="003843D6"/>
    <w:rsid w:val="00384EDC"/>
    <w:rsid w:val="00385106"/>
    <w:rsid w:val="00385B9F"/>
    <w:rsid w:val="003864C1"/>
    <w:rsid w:val="003868C3"/>
    <w:rsid w:val="00386C7E"/>
    <w:rsid w:val="0038774A"/>
    <w:rsid w:val="00387AB6"/>
    <w:rsid w:val="003905ED"/>
    <w:rsid w:val="0039099B"/>
    <w:rsid w:val="003912A6"/>
    <w:rsid w:val="00391E3E"/>
    <w:rsid w:val="003920FE"/>
    <w:rsid w:val="00392308"/>
    <w:rsid w:val="003923FD"/>
    <w:rsid w:val="0039269F"/>
    <w:rsid w:val="003930F7"/>
    <w:rsid w:val="0039310A"/>
    <w:rsid w:val="00393285"/>
    <w:rsid w:val="003935C6"/>
    <w:rsid w:val="00393974"/>
    <w:rsid w:val="00394389"/>
    <w:rsid w:val="0039493F"/>
    <w:rsid w:val="00394C6D"/>
    <w:rsid w:val="003968D9"/>
    <w:rsid w:val="00396910"/>
    <w:rsid w:val="00397145"/>
    <w:rsid w:val="003974E3"/>
    <w:rsid w:val="0039787B"/>
    <w:rsid w:val="00397A6C"/>
    <w:rsid w:val="003A0046"/>
    <w:rsid w:val="003A0369"/>
    <w:rsid w:val="003A0490"/>
    <w:rsid w:val="003A152E"/>
    <w:rsid w:val="003A1AE7"/>
    <w:rsid w:val="003A2493"/>
    <w:rsid w:val="003A2FBE"/>
    <w:rsid w:val="003A35F8"/>
    <w:rsid w:val="003A3B7A"/>
    <w:rsid w:val="003A43AD"/>
    <w:rsid w:val="003A608F"/>
    <w:rsid w:val="003A6B42"/>
    <w:rsid w:val="003A6DF2"/>
    <w:rsid w:val="003A744C"/>
    <w:rsid w:val="003B0117"/>
    <w:rsid w:val="003B0B90"/>
    <w:rsid w:val="003B0D40"/>
    <w:rsid w:val="003B15A4"/>
    <w:rsid w:val="003B19E3"/>
    <w:rsid w:val="003B1A32"/>
    <w:rsid w:val="003B1B39"/>
    <w:rsid w:val="003B23DD"/>
    <w:rsid w:val="003B300E"/>
    <w:rsid w:val="003B469F"/>
    <w:rsid w:val="003B475B"/>
    <w:rsid w:val="003B48E1"/>
    <w:rsid w:val="003B5136"/>
    <w:rsid w:val="003B5BF1"/>
    <w:rsid w:val="003B6295"/>
    <w:rsid w:val="003B7003"/>
    <w:rsid w:val="003B7C71"/>
    <w:rsid w:val="003C0188"/>
    <w:rsid w:val="003C3534"/>
    <w:rsid w:val="003C455B"/>
    <w:rsid w:val="003C4CCB"/>
    <w:rsid w:val="003C5459"/>
    <w:rsid w:val="003C5751"/>
    <w:rsid w:val="003C6118"/>
    <w:rsid w:val="003C6215"/>
    <w:rsid w:val="003C65C1"/>
    <w:rsid w:val="003C6689"/>
    <w:rsid w:val="003C68F8"/>
    <w:rsid w:val="003C7550"/>
    <w:rsid w:val="003C7F51"/>
    <w:rsid w:val="003D220D"/>
    <w:rsid w:val="003D266D"/>
    <w:rsid w:val="003D2890"/>
    <w:rsid w:val="003D583F"/>
    <w:rsid w:val="003D5A5D"/>
    <w:rsid w:val="003D5BC4"/>
    <w:rsid w:val="003D6C1E"/>
    <w:rsid w:val="003D7747"/>
    <w:rsid w:val="003D7F75"/>
    <w:rsid w:val="003E02E9"/>
    <w:rsid w:val="003E03DF"/>
    <w:rsid w:val="003E156E"/>
    <w:rsid w:val="003E1D7E"/>
    <w:rsid w:val="003E1DD3"/>
    <w:rsid w:val="003E23E2"/>
    <w:rsid w:val="003E2EDD"/>
    <w:rsid w:val="003E361B"/>
    <w:rsid w:val="003E364A"/>
    <w:rsid w:val="003E41CD"/>
    <w:rsid w:val="003E6519"/>
    <w:rsid w:val="003E659B"/>
    <w:rsid w:val="003E771D"/>
    <w:rsid w:val="003F0C5E"/>
    <w:rsid w:val="003F0CA0"/>
    <w:rsid w:val="003F0CDE"/>
    <w:rsid w:val="003F1494"/>
    <w:rsid w:val="003F15E3"/>
    <w:rsid w:val="003F1A94"/>
    <w:rsid w:val="003F1B77"/>
    <w:rsid w:val="003F1DA2"/>
    <w:rsid w:val="003F1FF2"/>
    <w:rsid w:val="003F208C"/>
    <w:rsid w:val="003F2467"/>
    <w:rsid w:val="003F2CE1"/>
    <w:rsid w:val="003F35A9"/>
    <w:rsid w:val="003F3912"/>
    <w:rsid w:val="003F3C17"/>
    <w:rsid w:val="003F4192"/>
    <w:rsid w:val="003F438E"/>
    <w:rsid w:val="003F49D7"/>
    <w:rsid w:val="003F4D3A"/>
    <w:rsid w:val="003F58D4"/>
    <w:rsid w:val="003F59EB"/>
    <w:rsid w:val="003F5CBF"/>
    <w:rsid w:val="003F67B6"/>
    <w:rsid w:val="003F7E06"/>
    <w:rsid w:val="0040008E"/>
    <w:rsid w:val="00400300"/>
    <w:rsid w:val="00400D7E"/>
    <w:rsid w:val="00401157"/>
    <w:rsid w:val="00401F6B"/>
    <w:rsid w:val="0040202C"/>
    <w:rsid w:val="00402171"/>
    <w:rsid w:val="00402786"/>
    <w:rsid w:val="00402E54"/>
    <w:rsid w:val="004039D4"/>
    <w:rsid w:val="00403B57"/>
    <w:rsid w:val="00404857"/>
    <w:rsid w:val="00405512"/>
    <w:rsid w:val="00405AA3"/>
    <w:rsid w:val="0040736C"/>
    <w:rsid w:val="004100F8"/>
    <w:rsid w:val="00410473"/>
    <w:rsid w:val="00410547"/>
    <w:rsid w:val="004108B5"/>
    <w:rsid w:val="00410E76"/>
    <w:rsid w:val="0041135E"/>
    <w:rsid w:val="00411858"/>
    <w:rsid w:val="004122E2"/>
    <w:rsid w:val="004124D6"/>
    <w:rsid w:val="0041395C"/>
    <w:rsid w:val="00414209"/>
    <w:rsid w:val="004142C8"/>
    <w:rsid w:val="0041610B"/>
    <w:rsid w:val="004165D4"/>
    <w:rsid w:val="0041730D"/>
    <w:rsid w:val="004178E5"/>
    <w:rsid w:val="0041796D"/>
    <w:rsid w:val="00417D7C"/>
    <w:rsid w:val="00417EA2"/>
    <w:rsid w:val="0042106D"/>
    <w:rsid w:val="004217F1"/>
    <w:rsid w:val="0042186E"/>
    <w:rsid w:val="004218D0"/>
    <w:rsid w:val="00421EBE"/>
    <w:rsid w:val="00421F08"/>
    <w:rsid w:val="00422BAE"/>
    <w:rsid w:val="00423183"/>
    <w:rsid w:val="00423195"/>
    <w:rsid w:val="004241B7"/>
    <w:rsid w:val="0042508A"/>
    <w:rsid w:val="0042531F"/>
    <w:rsid w:val="00425D1A"/>
    <w:rsid w:val="00426ADA"/>
    <w:rsid w:val="00426B13"/>
    <w:rsid w:val="00426B21"/>
    <w:rsid w:val="00430427"/>
    <w:rsid w:val="004304DE"/>
    <w:rsid w:val="00430F1B"/>
    <w:rsid w:val="00431A40"/>
    <w:rsid w:val="00431AF7"/>
    <w:rsid w:val="00432039"/>
    <w:rsid w:val="00432D51"/>
    <w:rsid w:val="00433156"/>
    <w:rsid w:val="00433598"/>
    <w:rsid w:val="004335CC"/>
    <w:rsid w:val="00433608"/>
    <w:rsid w:val="004345C1"/>
    <w:rsid w:val="00434B8A"/>
    <w:rsid w:val="00435101"/>
    <w:rsid w:val="00435114"/>
    <w:rsid w:val="004351FC"/>
    <w:rsid w:val="004352BD"/>
    <w:rsid w:val="004359E6"/>
    <w:rsid w:val="00435A5B"/>
    <w:rsid w:val="0043653B"/>
    <w:rsid w:val="00436BB5"/>
    <w:rsid w:val="00436DB3"/>
    <w:rsid w:val="00437025"/>
    <w:rsid w:val="004370D6"/>
    <w:rsid w:val="00437524"/>
    <w:rsid w:val="004378F6"/>
    <w:rsid w:val="00437A4A"/>
    <w:rsid w:val="00440B94"/>
    <w:rsid w:val="00441456"/>
    <w:rsid w:val="0044198F"/>
    <w:rsid w:val="00441D2C"/>
    <w:rsid w:val="00443DB2"/>
    <w:rsid w:val="00443E8D"/>
    <w:rsid w:val="00444222"/>
    <w:rsid w:val="00445A2C"/>
    <w:rsid w:val="00445BF0"/>
    <w:rsid w:val="00445CD0"/>
    <w:rsid w:val="004464E0"/>
    <w:rsid w:val="00446D31"/>
    <w:rsid w:val="0044708B"/>
    <w:rsid w:val="004470BD"/>
    <w:rsid w:val="00447550"/>
    <w:rsid w:val="00447B56"/>
    <w:rsid w:val="00447F54"/>
    <w:rsid w:val="00447F9A"/>
    <w:rsid w:val="004506FE"/>
    <w:rsid w:val="0045187A"/>
    <w:rsid w:val="00451E2F"/>
    <w:rsid w:val="00452358"/>
    <w:rsid w:val="00452DA3"/>
    <w:rsid w:val="00453583"/>
    <w:rsid w:val="004538CC"/>
    <w:rsid w:val="0045410D"/>
    <w:rsid w:val="0045511F"/>
    <w:rsid w:val="004559F2"/>
    <w:rsid w:val="004562B5"/>
    <w:rsid w:val="00456487"/>
    <w:rsid w:val="004564A7"/>
    <w:rsid w:val="004567BB"/>
    <w:rsid w:val="00456ADB"/>
    <w:rsid w:val="0045714E"/>
    <w:rsid w:val="0045723D"/>
    <w:rsid w:val="00457354"/>
    <w:rsid w:val="004574F0"/>
    <w:rsid w:val="00460169"/>
    <w:rsid w:val="00460335"/>
    <w:rsid w:val="00460D56"/>
    <w:rsid w:val="0046107F"/>
    <w:rsid w:val="004611B5"/>
    <w:rsid w:val="00462AE7"/>
    <w:rsid w:val="00463C4C"/>
    <w:rsid w:val="0046483A"/>
    <w:rsid w:val="00464DBF"/>
    <w:rsid w:val="00465603"/>
    <w:rsid w:val="00465B24"/>
    <w:rsid w:val="00465D00"/>
    <w:rsid w:val="00465E17"/>
    <w:rsid w:val="00466245"/>
    <w:rsid w:val="004663B8"/>
    <w:rsid w:val="00466655"/>
    <w:rsid w:val="00467378"/>
    <w:rsid w:val="004675B3"/>
    <w:rsid w:val="00470318"/>
    <w:rsid w:val="00470AAB"/>
    <w:rsid w:val="00470D2B"/>
    <w:rsid w:val="00471303"/>
    <w:rsid w:val="0047259A"/>
    <w:rsid w:val="00472C06"/>
    <w:rsid w:val="0047529D"/>
    <w:rsid w:val="0047532E"/>
    <w:rsid w:val="00475468"/>
    <w:rsid w:val="004757A5"/>
    <w:rsid w:val="004760F7"/>
    <w:rsid w:val="00476B32"/>
    <w:rsid w:val="004774D9"/>
    <w:rsid w:val="0048158E"/>
    <w:rsid w:val="00482380"/>
    <w:rsid w:val="00483097"/>
    <w:rsid w:val="00483AD6"/>
    <w:rsid w:val="00483B74"/>
    <w:rsid w:val="00483F49"/>
    <w:rsid w:val="00484AA8"/>
    <w:rsid w:val="00485864"/>
    <w:rsid w:val="00485E0F"/>
    <w:rsid w:val="00486A2A"/>
    <w:rsid w:val="00487402"/>
    <w:rsid w:val="00487B6F"/>
    <w:rsid w:val="00490456"/>
    <w:rsid w:val="0049078F"/>
    <w:rsid w:val="00491A2E"/>
    <w:rsid w:val="00491F32"/>
    <w:rsid w:val="0049247E"/>
    <w:rsid w:val="00492795"/>
    <w:rsid w:val="004930D1"/>
    <w:rsid w:val="004936CA"/>
    <w:rsid w:val="00494118"/>
    <w:rsid w:val="00494286"/>
    <w:rsid w:val="00494389"/>
    <w:rsid w:val="004943DA"/>
    <w:rsid w:val="004945F9"/>
    <w:rsid w:val="00494BDF"/>
    <w:rsid w:val="00494E4F"/>
    <w:rsid w:val="00494F07"/>
    <w:rsid w:val="00496396"/>
    <w:rsid w:val="00496D73"/>
    <w:rsid w:val="004977F6"/>
    <w:rsid w:val="004A0E8A"/>
    <w:rsid w:val="004A1608"/>
    <w:rsid w:val="004A33FC"/>
    <w:rsid w:val="004A34E2"/>
    <w:rsid w:val="004A35CF"/>
    <w:rsid w:val="004A4168"/>
    <w:rsid w:val="004A4331"/>
    <w:rsid w:val="004A43B9"/>
    <w:rsid w:val="004A5500"/>
    <w:rsid w:val="004A56E6"/>
    <w:rsid w:val="004A595F"/>
    <w:rsid w:val="004A65CF"/>
    <w:rsid w:val="004A6C48"/>
    <w:rsid w:val="004A6D05"/>
    <w:rsid w:val="004A6E1A"/>
    <w:rsid w:val="004A7142"/>
    <w:rsid w:val="004A78B3"/>
    <w:rsid w:val="004A7C1E"/>
    <w:rsid w:val="004B123F"/>
    <w:rsid w:val="004B14AA"/>
    <w:rsid w:val="004B14DD"/>
    <w:rsid w:val="004B1807"/>
    <w:rsid w:val="004B20E2"/>
    <w:rsid w:val="004B27CF"/>
    <w:rsid w:val="004B2A79"/>
    <w:rsid w:val="004B36BF"/>
    <w:rsid w:val="004B3D61"/>
    <w:rsid w:val="004B414D"/>
    <w:rsid w:val="004B5E55"/>
    <w:rsid w:val="004B6F8D"/>
    <w:rsid w:val="004B7353"/>
    <w:rsid w:val="004B7874"/>
    <w:rsid w:val="004C10C8"/>
    <w:rsid w:val="004C1357"/>
    <w:rsid w:val="004C198C"/>
    <w:rsid w:val="004C1C0D"/>
    <w:rsid w:val="004C1D3F"/>
    <w:rsid w:val="004C324E"/>
    <w:rsid w:val="004C344B"/>
    <w:rsid w:val="004C3771"/>
    <w:rsid w:val="004C3F7F"/>
    <w:rsid w:val="004C41C2"/>
    <w:rsid w:val="004C4B87"/>
    <w:rsid w:val="004C4BBE"/>
    <w:rsid w:val="004C666B"/>
    <w:rsid w:val="004C68CF"/>
    <w:rsid w:val="004C6C45"/>
    <w:rsid w:val="004C6CF0"/>
    <w:rsid w:val="004C6D21"/>
    <w:rsid w:val="004C7CA7"/>
    <w:rsid w:val="004D0700"/>
    <w:rsid w:val="004D15C3"/>
    <w:rsid w:val="004D2547"/>
    <w:rsid w:val="004D3722"/>
    <w:rsid w:val="004D40DF"/>
    <w:rsid w:val="004D4295"/>
    <w:rsid w:val="004D477B"/>
    <w:rsid w:val="004D4884"/>
    <w:rsid w:val="004D4D82"/>
    <w:rsid w:val="004D581D"/>
    <w:rsid w:val="004D5825"/>
    <w:rsid w:val="004D68B5"/>
    <w:rsid w:val="004D72DA"/>
    <w:rsid w:val="004E0D3E"/>
    <w:rsid w:val="004E1422"/>
    <w:rsid w:val="004E1F33"/>
    <w:rsid w:val="004E20A0"/>
    <w:rsid w:val="004E2529"/>
    <w:rsid w:val="004E2FD1"/>
    <w:rsid w:val="004E3F9C"/>
    <w:rsid w:val="004E42BE"/>
    <w:rsid w:val="004E4CBD"/>
    <w:rsid w:val="004E5618"/>
    <w:rsid w:val="004E6043"/>
    <w:rsid w:val="004E6253"/>
    <w:rsid w:val="004E6923"/>
    <w:rsid w:val="004F096B"/>
    <w:rsid w:val="004F10A5"/>
    <w:rsid w:val="004F2319"/>
    <w:rsid w:val="004F2706"/>
    <w:rsid w:val="004F2D07"/>
    <w:rsid w:val="004F2D1B"/>
    <w:rsid w:val="004F308D"/>
    <w:rsid w:val="004F3240"/>
    <w:rsid w:val="004F3A3E"/>
    <w:rsid w:val="004F3ADF"/>
    <w:rsid w:val="004F3EC1"/>
    <w:rsid w:val="004F415C"/>
    <w:rsid w:val="004F41FB"/>
    <w:rsid w:val="004F4325"/>
    <w:rsid w:val="004F4B76"/>
    <w:rsid w:val="004F5021"/>
    <w:rsid w:val="004F517E"/>
    <w:rsid w:val="004F5A7F"/>
    <w:rsid w:val="004F5BE0"/>
    <w:rsid w:val="004F5EE7"/>
    <w:rsid w:val="004F6354"/>
    <w:rsid w:val="004F7098"/>
    <w:rsid w:val="004F752A"/>
    <w:rsid w:val="005004B5"/>
    <w:rsid w:val="005007A9"/>
    <w:rsid w:val="00500A46"/>
    <w:rsid w:val="0050234B"/>
    <w:rsid w:val="005033EE"/>
    <w:rsid w:val="00503A41"/>
    <w:rsid w:val="00504883"/>
    <w:rsid w:val="00504A70"/>
    <w:rsid w:val="00504BF6"/>
    <w:rsid w:val="00504DA3"/>
    <w:rsid w:val="00505007"/>
    <w:rsid w:val="005050E9"/>
    <w:rsid w:val="00505667"/>
    <w:rsid w:val="00505E36"/>
    <w:rsid w:val="005060DE"/>
    <w:rsid w:val="00506548"/>
    <w:rsid w:val="0050703F"/>
    <w:rsid w:val="00507CDE"/>
    <w:rsid w:val="00507E1B"/>
    <w:rsid w:val="0051178F"/>
    <w:rsid w:val="00511B50"/>
    <w:rsid w:val="00513240"/>
    <w:rsid w:val="0051568E"/>
    <w:rsid w:val="005157DD"/>
    <w:rsid w:val="005158B9"/>
    <w:rsid w:val="00515B98"/>
    <w:rsid w:val="005163D9"/>
    <w:rsid w:val="00517151"/>
    <w:rsid w:val="00521181"/>
    <w:rsid w:val="00521509"/>
    <w:rsid w:val="0052156E"/>
    <w:rsid w:val="00521759"/>
    <w:rsid w:val="005222C8"/>
    <w:rsid w:val="0052283B"/>
    <w:rsid w:val="00522C65"/>
    <w:rsid w:val="00522E0A"/>
    <w:rsid w:val="00523386"/>
    <w:rsid w:val="00524329"/>
    <w:rsid w:val="00525254"/>
    <w:rsid w:val="00525BA4"/>
    <w:rsid w:val="0052673A"/>
    <w:rsid w:val="00526D38"/>
    <w:rsid w:val="005278D4"/>
    <w:rsid w:val="00527929"/>
    <w:rsid w:val="00527DAE"/>
    <w:rsid w:val="00530136"/>
    <w:rsid w:val="00531039"/>
    <w:rsid w:val="005310F0"/>
    <w:rsid w:val="00531B74"/>
    <w:rsid w:val="005324E1"/>
    <w:rsid w:val="00532E3F"/>
    <w:rsid w:val="00532FD5"/>
    <w:rsid w:val="00533717"/>
    <w:rsid w:val="00534A4D"/>
    <w:rsid w:val="00534C12"/>
    <w:rsid w:val="00535200"/>
    <w:rsid w:val="00535270"/>
    <w:rsid w:val="0053551B"/>
    <w:rsid w:val="0053573C"/>
    <w:rsid w:val="00536014"/>
    <w:rsid w:val="005361BD"/>
    <w:rsid w:val="00536503"/>
    <w:rsid w:val="0053798A"/>
    <w:rsid w:val="00540893"/>
    <w:rsid w:val="00540C98"/>
    <w:rsid w:val="00540FF2"/>
    <w:rsid w:val="00541288"/>
    <w:rsid w:val="00541D63"/>
    <w:rsid w:val="005425DB"/>
    <w:rsid w:val="005427B5"/>
    <w:rsid w:val="00542E5A"/>
    <w:rsid w:val="0054362F"/>
    <w:rsid w:val="0054441D"/>
    <w:rsid w:val="00545661"/>
    <w:rsid w:val="00546D1E"/>
    <w:rsid w:val="005476EC"/>
    <w:rsid w:val="00547A03"/>
    <w:rsid w:val="00547E8C"/>
    <w:rsid w:val="00550288"/>
    <w:rsid w:val="00551959"/>
    <w:rsid w:val="00551CA2"/>
    <w:rsid w:val="005524C9"/>
    <w:rsid w:val="00553861"/>
    <w:rsid w:val="00553F8E"/>
    <w:rsid w:val="005549B5"/>
    <w:rsid w:val="005549B6"/>
    <w:rsid w:val="00555B8F"/>
    <w:rsid w:val="00555DED"/>
    <w:rsid w:val="00555EB3"/>
    <w:rsid w:val="00557784"/>
    <w:rsid w:val="00557AE7"/>
    <w:rsid w:val="0056027B"/>
    <w:rsid w:val="005606E4"/>
    <w:rsid w:val="005611BE"/>
    <w:rsid w:val="00561974"/>
    <w:rsid w:val="00561B31"/>
    <w:rsid w:val="00561BD6"/>
    <w:rsid w:val="00561CBB"/>
    <w:rsid w:val="00561F82"/>
    <w:rsid w:val="0056258F"/>
    <w:rsid w:val="00562785"/>
    <w:rsid w:val="005629B7"/>
    <w:rsid w:val="00562C29"/>
    <w:rsid w:val="00563731"/>
    <w:rsid w:val="0056393D"/>
    <w:rsid w:val="00563F49"/>
    <w:rsid w:val="00564203"/>
    <w:rsid w:val="005644E0"/>
    <w:rsid w:val="00564550"/>
    <w:rsid w:val="00564EB2"/>
    <w:rsid w:val="005650D7"/>
    <w:rsid w:val="0056621E"/>
    <w:rsid w:val="00566794"/>
    <w:rsid w:val="005668F7"/>
    <w:rsid w:val="00566F1C"/>
    <w:rsid w:val="00567886"/>
    <w:rsid w:val="005700F3"/>
    <w:rsid w:val="0057216C"/>
    <w:rsid w:val="005721DA"/>
    <w:rsid w:val="00572343"/>
    <w:rsid w:val="00572BD9"/>
    <w:rsid w:val="005732BB"/>
    <w:rsid w:val="00574654"/>
    <w:rsid w:val="00575F1F"/>
    <w:rsid w:val="005761F2"/>
    <w:rsid w:val="00576BAD"/>
    <w:rsid w:val="00577143"/>
    <w:rsid w:val="00580183"/>
    <w:rsid w:val="00580766"/>
    <w:rsid w:val="0058172F"/>
    <w:rsid w:val="00581D82"/>
    <w:rsid w:val="00581EED"/>
    <w:rsid w:val="005821FC"/>
    <w:rsid w:val="0058371D"/>
    <w:rsid w:val="00583BC4"/>
    <w:rsid w:val="00583E62"/>
    <w:rsid w:val="00584086"/>
    <w:rsid w:val="0058460D"/>
    <w:rsid w:val="00584AAA"/>
    <w:rsid w:val="00585568"/>
    <w:rsid w:val="00585E26"/>
    <w:rsid w:val="005862ED"/>
    <w:rsid w:val="00586A89"/>
    <w:rsid w:val="0058750C"/>
    <w:rsid w:val="00587D0C"/>
    <w:rsid w:val="00590628"/>
    <w:rsid w:val="00590926"/>
    <w:rsid w:val="005931B0"/>
    <w:rsid w:val="005940A7"/>
    <w:rsid w:val="00594C6F"/>
    <w:rsid w:val="00594D43"/>
    <w:rsid w:val="0059535D"/>
    <w:rsid w:val="00596469"/>
    <w:rsid w:val="00596674"/>
    <w:rsid w:val="00596BD1"/>
    <w:rsid w:val="005A08D1"/>
    <w:rsid w:val="005A0D0A"/>
    <w:rsid w:val="005A14B5"/>
    <w:rsid w:val="005A67BE"/>
    <w:rsid w:val="005A6C7B"/>
    <w:rsid w:val="005A76C3"/>
    <w:rsid w:val="005A777E"/>
    <w:rsid w:val="005A7908"/>
    <w:rsid w:val="005A795D"/>
    <w:rsid w:val="005B1931"/>
    <w:rsid w:val="005B23A9"/>
    <w:rsid w:val="005B2A41"/>
    <w:rsid w:val="005B2C18"/>
    <w:rsid w:val="005B2D4D"/>
    <w:rsid w:val="005B31CF"/>
    <w:rsid w:val="005B5263"/>
    <w:rsid w:val="005B566A"/>
    <w:rsid w:val="005B5F04"/>
    <w:rsid w:val="005B738F"/>
    <w:rsid w:val="005B73BB"/>
    <w:rsid w:val="005B78DE"/>
    <w:rsid w:val="005B7D43"/>
    <w:rsid w:val="005C1B59"/>
    <w:rsid w:val="005C2269"/>
    <w:rsid w:val="005C2B9C"/>
    <w:rsid w:val="005C2FEF"/>
    <w:rsid w:val="005C3C2D"/>
    <w:rsid w:val="005C3D18"/>
    <w:rsid w:val="005C3E6B"/>
    <w:rsid w:val="005C418F"/>
    <w:rsid w:val="005C4318"/>
    <w:rsid w:val="005C4372"/>
    <w:rsid w:val="005C4912"/>
    <w:rsid w:val="005C50E4"/>
    <w:rsid w:val="005C511C"/>
    <w:rsid w:val="005C52B9"/>
    <w:rsid w:val="005C57AE"/>
    <w:rsid w:val="005D02B0"/>
    <w:rsid w:val="005D04CD"/>
    <w:rsid w:val="005D0CB0"/>
    <w:rsid w:val="005D0D85"/>
    <w:rsid w:val="005D1634"/>
    <w:rsid w:val="005D19B5"/>
    <w:rsid w:val="005D1BE9"/>
    <w:rsid w:val="005D2E81"/>
    <w:rsid w:val="005D3208"/>
    <w:rsid w:val="005D3287"/>
    <w:rsid w:val="005D3D50"/>
    <w:rsid w:val="005D3F37"/>
    <w:rsid w:val="005D40BC"/>
    <w:rsid w:val="005D4A9A"/>
    <w:rsid w:val="005D51AC"/>
    <w:rsid w:val="005D52DA"/>
    <w:rsid w:val="005D5F94"/>
    <w:rsid w:val="005D7AEF"/>
    <w:rsid w:val="005D7B73"/>
    <w:rsid w:val="005E03B2"/>
    <w:rsid w:val="005E0A7B"/>
    <w:rsid w:val="005E0CBC"/>
    <w:rsid w:val="005E192D"/>
    <w:rsid w:val="005E213A"/>
    <w:rsid w:val="005E2409"/>
    <w:rsid w:val="005E28D9"/>
    <w:rsid w:val="005E2CAE"/>
    <w:rsid w:val="005E5BA0"/>
    <w:rsid w:val="005E5BF2"/>
    <w:rsid w:val="005E6169"/>
    <w:rsid w:val="005E654C"/>
    <w:rsid w:val="005E65B1"/>
    <w:rsid w:val="005E672E"/>
    <w:rsid w:val="005E6824"/>
    <w:rsid w:val="005E6907"/>
    <w:rsid w:val="005E7792"/>
    <w:rsid w:val="005E7922"/>
    <w:rsid w:val="005F0623"/>
    <w:rsid w:val="005F0976"/>
    <w:rsid w:val="005F0C57"/>
    <w:rsid w:val="005F217F"/>
    <w:rsid w:val="005F240B"/>
    <w:rsid w:val="005F2AFC"/>
    <w:rsid w:val="005F35BE"/>
    <w:rsid w:val="005F5057"/>
    <w:rsid w:val="005F53D9"/>
    <w:rsid w:val="005F61E3"/>
    <w:rsid w:val="005F7105"/>
    <w:rsid w:val="005F7B4A"/>
    <w:rsid w:val="005F7F3B"/>
    <w:rsid w:val="00600CB1"/>
    <w:rsid w:val="00602211"/>
    <w:rsid w:val="0060307E"/>
    <w:rsid w:val="0060315A"/>
    <w:rsid w:val="006032CF"/>
    <w:rsid w:val="0060333C"/>
    <w:rsid w:val="00603C0D"/>
    <w:rsid w:val="00603C74"/>
    <w:rsid w:val="00603DD9"/>
    <w:rsid w:val="006040DA"/>
    <w:rsid w:val="006048ED"/>
    <w:rsid w:val="00604DB4"/>
    <w:rsid w:val="006066E2"/>
    <w:rsid w:val="00606A57"/>
    <w:rsid w:val="00606BF3"/>
    <w:rsid w:val="00606F5B"/>
    <w:rsid w:val="0060789C"/>
    <w:rsid w:val="006101CC"/>
    <w:rsid w:val="006105E8"/>
    <w:rsid w:val="0061186F"/>
    <w:rsid w:val="00611D3B"/>
    <w:rsid w:val="00612886"/>
    <w:rsid w:val="0061362F"/>
    <w:rsid w:val="00613A4F"/>
    <w:rsid w:val="00613C1C"/>
    <w:rsid w:val="00613CEF"/>
    <w:rsid w:val="0061479E"/>
    <w:rsid w:val="00614895"/>
    <w:rsid w:val="00614A7F"/>
    <w:rsid w:val="00614D1C"/>
    <w:rsid w:val="0061601D"/>
    <w:rsid w:val="006160D4"/>
    <w:rsid w:val="00616511"/>
    <w:rsid w:val="0062043C"/>
    <w:rsid w:val="006213B4"/>
    <w:rsid w:val="006214AF"/>
    <w:rsid w:val="00621809"/>
    <w:rsid w:val="00623CBD"/>
    <w:rsid w:val="0062447A"/>
    <w:rsid w:val="006251DD"/>
    <w:rsid w:val="00625A90"/>
    <w:rsid w:val="0062626D"/>
    <w:rsid w:val="00626677"/>
    <w:rsid w:val="00626B97"/>
    <w:rsid w:val="00626ED7"/>
    <w:rsid w:val="00626F64"/>
    <w:rsid w:val="00627093"/>
    <w:rsid w:val="00627239"/>
    <w:rsid w:val="00630482"/>
    <w:rsid w:val="006305D7"/>
    <w:rsid w:val="00630BB7"/>
    <w:rsid w:val="00630CC6"/>
    <w:rsid w:val="00631E78"/>
    <w:rsid w:val="00632100"/>
    <w:rsid w:val="00632731"/>
    <w:rsid w:val="00633174"/>
    <w:rsid w:val="00633909"/>
    <w:rsid w:val="00633CC4"/>
    <w:rsid w:val="006349D1"/>
    <w:rsid w:val="006349D5"/>
    <w:rsid w:val="00634BD3"/>
    <w:rsid w:val="00634F04"/>
    <w:rsid w:val="00635185"/>
    <w:rsid w:val="00635BE3"/>
    <w:rsid w:val="0063606F"/>
    <w:rsid w:val="0063681F"/>
    <w:rsid w:val="006368F8"/>
    <w:rsid w:val="00637035"/>
    <w:rsid w:val="00637610"/>
    <w:rsid w:val="00637839"/>
    <w:rsid w:val="00637910"/>
    <w:rsid w:val="006402B1"/>
    <w:rsid w:val="00640EA2"/>
    <w:rsid w:val="00641498"/>
    <w:rsid w:val="006416B3"/>
    <w:rsid w:val="0064185E"/>
    <w:rsid w:val="00641ABB"/>
    <w:rsid w:val="00641D3F"/>
    <w:rsid w:val="0064207C"/>
    <w:rsid w:val="006420CD"/>
    <w:rsid w:val="006429CE"/>
    <w:rsid w:val="00642DF7"/>
    <w:rsid w:val="00643F88"/>
    <w:rsid w:val="00644111"/>
    <w:rsid w:val="00644259"/>
    <w:rsid w:val="006444A7"/>
    <w:rsid w:val="006447A7"/>
    <w:rsid w:val="00644D22"/>
    <w:rsid w:val="0064561D"/>
    <w:rsid w:val="006459DC"/>
    <w:rsid w:val="00646723"/>
    <w:rsid w:val="00646793"/>
    <w:rsid w:val="00647660"/>
    <w:rsid w:val="00647A04"/>
    <w:rsid w:val="006505E8"/>
    <w:rsid w:val="00650D6A"/>
    <w:rsid w:val="006511A4"/>
    <w:rsid w:val="00651471"/>
    <w:rsid w:val="00651EF3"/>
    <w:rsid w:val="00651F50"/>
    <w:rsid w:val="00652232"/>
    <w:rsid w:val="00652916"/>
    <w:rsid w:val="00652B86"/>
    <w:rsid w:val="00653679"/>
    <w:rsid w:val="006536DE"/>
    <w:rsid w:val="00653744"/>
    <w:rsid w:val="00653DAE"/>
    <w:rsid w:val="00653DC8"/>
    <w:rsid w:val="00654D76"/>
    <w:rsid w:val="006555DA"/>
    <w:rsid w:val="00655863"/>
    <w:rsid w:val="00656EE9"/>
    <w:rsid w:val="006575D0"/>
    <w:rsid w:val="00660069"/>
    <w:rsid w:val="006604FE"/>
    <w:rsid w:val="006617DC"/>
    <w:rsid w:val="00662199"/>
    <w:rsid w:val="00662694"/>
    <w:rsid w:val="006637FB"/>
    <w:rsid w:val="00664798"/>
    <w:rsid w:val="00664DC6"/>
    <w:rsid w:val="00665322"/>
    <w:rsid w:val="00666270"/>
    <w:rsid w:val="0066633E"/>
    <w:rsid w:val="00666B96"/>
    <w:rsid w:val="00667104"/>
    <w:rsid w:val="00667EA0"/>
    <w:rsid w:val="00671B58"/>
    <w:rsid w:val="00671BAA"/>
    <w:rsid w:val="006721D7"/>
    <w:rsid w:val="00672D97"/>
    <w:rsid w:val="0067397A"/>
    <w:rsid w:val="006744C0"/>
    <w:rsid w:val="00675284"/>
    <w:rsid w:val="006752FA"/>
    <w:rsid w:val="0067655D"/>
    <w:rsid w:val="006766AA"/>
    <w:rsid w:val="00676AA6"/>
    <w:rsid w:val="00676F1E"/>
    <w:rsid w:val="006770B6"/>
    <w:rsid w:val="006779E7"/>
    <w:rsid w:val="00680294"/>
    <w:rsid w:val="006803B8"/>
    <w:rsid w:val="00680432"/>
    <w:rsid w:val="0068051F"/>
    <w:rsid w:val="00680D1A"/>
    <w:rsid w:val="00681872"/>
    <w:rsid w:val="00682079"/>
    <w:rsid w:val="0068231E"/>
    <w:rsid w:val="00682A43"/>
    <w:rsid w:val="00682D0F"/>
    <w:rsid w:val="0068381F"/>
    <w:rsid w:val="00684A02"/>
    <w:rsid w:val="00684B70"/>
    <w:rsid w:val="00684FE3"/>
    <w:rsid w:val="00685153"/>
    <w:rsid w:val="00685886"/>
    <w:rsid w:val="00685D5F"/>
    <w:rsid w:val="006866A6"/>
    <w:rsid w:val="00686CBB"/>
    <w:rsid w:val="00687315"/>
    <w:rsid w:val="006878A3"/>
    <w:rsid w:val="00687914"/>
    <w:rsid w:val="0069042E"/>
    <w:rsid w:val="006910A5"/>
    <w:rsid w:val="00691D26"/>
    <w:rsid w:val="00692213"/>
    <w:rsid w:val="00692C8E"/>
    <w:rsid w:val="00693042"/>
    <w:rsid w:val="00693239"/>
    <w:rsid w:val="0069327B"/>
    <w:rsid w:val="0069387A"/>
    <w:rsid w:val="0069391F"/>
    <w:rsid w:val="00693DE2"/>
    <w:rsid w:val="00694349"/>
    <w:rsid w:val="00694AA4"/>
    <w:rsid w:val="006951B8"/>
    <w:rsid w:val="00695E80"/>
    <w:rsid w:val="00696B99"/>
    <w:rsid w:val="00696BB1"/>
    <w:rsid w:val="00696ED3"/>
    <w:rsid w:val="00697149"/>
    <w:rsid w:val="00697B15"/>
    <w:rsid w:val="00697F71"/>
    <w:rsid w:val="006A0E31"/>
    <w:rsid w:val="006A10B2"/>
    <w:rsid w:val="006A181C"/>
    <w:rsid w:val="006A3617"/>
    <w:rsid w:val="006A3DC8"/>
    <w:rsid w:val="006A3DD5"/>
    <w:rsid w:val="006A3E42"/>
    <w:rsid w:val="006A444A"/>
    <w:rsid w:val="006A4D32"/>
    <w:rsid w:val="006A4DA6"/>
    <w:rsid w:val="006A518E"/>
    <w:rsid w:val="006A541C"/>
    <w:rsid w:val="006A6EE2"/>
    <w:rsid w:val="006A771C"/>
    <w:rsid w:val="006A78B9"/>
    <w:rsid w:val="006A7FB7"/>
    <w:rsid w:val="006B0549"/>
    <w:rsid w:val="006B07C2"/>
    <w:rsid w:val="006B0876"/>
    <w:rsid w:val="006B13F8"/>
    <w:rsid w:val="006B1F5B"/>
    <w:rsid w:val="006B2181"/>
    <w:rsid w:val="006B28ED"/>
    <w:rsid w:val="006B2CED"/>
    <w:rsid w:val="006B413D"/>
    <w:rsid w:val="006B47A2"/>
    <w:rsid w:val="006B49A2"/>
    <w:rsid w:val="006B507B"/>
    <w:rsid w:val="006B51F8"/>
    <w:rsid w:val="006B570C"/>
    <w:rsid w:val="006B5778"/>
    <w:rsid w:val="006B5F85"/>
    <w:rsid w:val="006B7787"/>
    <w:rsid w:val="006C01BE"/>
    <w:rsid w:val="006C07E3"/>
    <w:rsid w:val="006C19CC"/>
    <w:rsid w:val="006C3C76"/>
    <w:rsid w:val="006C44E5"/>
    <w:rsid w:val="006C4583"/>
    <w:rsid w:val="006C498D"/>
    <w:rsid w:val="006C5705"/>
    <w:rsid w:val="006C6646"/>
    <w:rsid w:val="006C683E"/>
    <w:rsid w:val="006C6B4C"/>
    <w:rsid w:val="006C6B64"/>
    <w:rsid w:val="006D058B"/>
    <w:rsid w:val="006D0683"/>
    <w:rsid w:val="006D0A59"/>
    <w:rsid w:val="006D11CE"/>
    <w:rsid w:val="006D135B"/>
    <w:rsid w:val="006D175E"/>
    <w:rsid w:val="006D1E56"/>
    <w:rsid w:val="006D2F00"/>
    <w:rsid w:val="006D2F65"/>
    <w:rsid w:val="006D3003"/>
    <w:rsid w:val="006D3719"/>
    <w:rsid w:val="006D480D"/>
    <w:rsid w:val="006D4AA3"/>
    <w:rsid w:val="006D60F8"/>
    <w:rsid w:val="006D6AFD"/>
    <w:rsid w:val="006D6E28"/>
    <w:rsid w:val="006D6F59"/>
    <w:rsid w:val="006E0998"/>
    <w:rsid w:val="006E0DFA"/>
    <w:rsid w:val="006E235F"/>
    <w:rsid w:val="006E3324"/>
    <w:rsid w:val="006E3677"/>
    <w:rsid w:val="006E3983"/>
    <w:rsid w:val="006E3C70"/>
    <w:rsid w:val="006E3ECB"/>
    <w:rsid w:val="006E4468"/>
    <w:rsid w:val="006E4FEC"/>
    <w:rsid w:val="006E5309"/>
    <w:rsid w:val="006E5B29"/>
    <w:rsid w:val="006E6816"/>
    <w:rsid w:val="006E6CD8"/>
    <w:rsid w:val="006E6F6F"/>
    <w:rsid w:val="006E7D6A"/>
    <w:rsid w:val="006F223F"/>
    <w:rsid w:val="006F2767"/>
    <w:rsid w:val="006F2B05"/>
    <w:rsid w:val="006F3FCA"/>
    <w:rsid w:val="006F4923"/>
    <w:rsid w:val="006F4C6B"/>
    <w:rsid w:val="006F4CA4"/>
    <w:rsid w:val="006F4EA9"/>
    <w:rsid w:val="006F4F4A"/>
    <w:rsid w:val="006F6028"/>
    <w:rsid w:val="006F7050"/>
    <w:rsid w:val="006F7B55"/>
    <w:rsid w:val="00700660"/>
    <w:rsid w:val="00700F96"/>
    <w:rsid w:val="00700FB2"/>
    <w:rsid w:val="0070193F"/>
    <w:rsid w:val="007025C1"/>
    <w:rsid w:val="00703731"/>
    <w:rsid w:val="00703DEF"/>
    <w:rsid w:val="00703F13"/>
    <w:rsid w:val="0070424D"/>
    <w:rsid w:val="007044F6"/>
    <w:rsid w:val="0070518B"/>
    <w:rsid w:val="00705E7D"/>
    <w:rsid w:val="00706420"/>
    <w:rsid w:val="007064D4"/>
    <w:rsid w:val="007065D7"/>
    <w:rsid w:val="00706D89"/>
    <w:rsid w:val="00707FD0"/>
    <w:rsid w:val="00710B87"/>
    <w:rsid w:val="0071142F"/>
    <w:rsid w:val="00711FAB"/>
    <w:rsid w:val="00713486"/>
    <w:rsid w:val="0071390B"/>
    <w:rsid w:val="00713A0D"/>
    <w:rsid w:val="00715228"/>
    <w:rsid w:val="00716747"/>
    <w:rsid w:val="0071699D"/>
    <w:rsid w:val="0071744D"/>
    <w:rsid w:val="00717893"/>
    <w:rsid w:val="007178AD"/>
    <w:rsid w:val="00717E76"/>
    <w:rsid w:val="007200B7"/>
    <w:rsid w:val="007204A2"/>
    <w:rsid w:val="00721310"/>
    <w:rsid w:val="007213B2"/>
    <w:rsid w:val="007214B7"/>
    <w:rsid w:val="0072222C"/>
    <w:rsid w:val="007222C9"/>
    <w:rsid w:val="00722489"/>
    <w:rsid w:val="0072278D"/>
    <w:rsid w:val="00722D78"/>
    <w:rsid w:val="00723882"/>
    <w:rsid w:val="00723F8F"/>
    <w:rsid w:val="00725563"/>
    <w:rsid w:val="007259B5"/>
    <w:rsid w:val="00726149"/>
    <w:rsid w:val="0072614D"/>
    <w:rsid w:val="00726261"/>
    <w:rsid w:val="0072659D"/>
    <w:rsid w:val="0072684D"/>
    <w:rsid w:val="00726D44"/>
    <w:rsid w:val="007270C4"/>
    <w:rsid w:val="007272C9"/>
    <w:rsid w:val="00727853"/>
    <w:rsid w:val="007309AA"/>
    <w:rsid w:val="00730AE1"/>
    <w:rsid w:val="00731194"/>
    <w:rsid w:val="00731258"/>
    <w:rsid w:val="0073185E"/>
    <w:rsid w:val="00731EFB"/>
    <w:rsid w:val="007323ED"/>
    <w:rsid w:val="007326EC"/>
    <w:rsid w:val="00732C37"/>
    <w:rsid w:val="00733AA8"/>
    <w:rsid w:val="0073438E"/>
    <w:rsid w:val="00734897"/>
    <w:rsid w:val="0073491A"/>
    <w:rsid w:val="00734D3C"/>
    <w:rsid w:val="00734DAE"/>
    <w:rsid w:val="00734E74"/>
    <w:rsid w:val="00734FD9"/>
    <w:rsid w:val="007360CB"/>
    <w:rsid w:val="00736A83"/>
    <w:rsid w:val="00736C9E"/>
    <w:rsid w:val="0073720E"/>
    <w:rsid w:val="007409C8"/>
    <w:rsid w:val="007409D2"/>
    <w:rsid w:val="00740B66"/>
    <w:rsid w:val="00740F9D"/>
    <w:rsid w:val="00742911"/>
    <w:rsid w:val="00743EAC"/>
    <w:rsid w:val="00744773"/>
    <w:rsid w:val="00744E11"/>
    <w:rsid w:val="00744FDD"/>
    <w:rsid w:val="0074515F"/>
    <w:rsid w:val="0074553C"/>
    <w:rsid w:val="00745549"/>
    <w:rsid w:val="00745A33"/>
    <w:rsid w:val="00746AD3"/>
    <w:rsid w:val="00746E98"/>
    <w:rsid w:val="0074795A"/>
    <w:rsid w:val="007479E1"/>
    <w:rsid w:val="00750509"/>
    <w:rsid w:val="00750A1A"/>
    <w:rsid w:val="007512AD"/>
    <w:rsid w:val="00751566"/>
    <w:rsid w:val="00751C97"/>
    <w:rsid w:val="00751E0A"/>
    <w:rsid w:val="00752BBF"/>
    <w:rsid w:val="007531C4"/>
    <w:rsid w:val="00753432"/>
    <w:rsid w:val="007543F9"/>
    <w:rsid w:val="00754A17"/>
    <w:rsid w:val="00755B76"/>
    <w:rsid w:val="00755F33"/>
    <w:rsid w:val="0075656D"/>
    <w:rsid w:val="007573B4"/>
    <w:rsid w:val="007576CB"/>
    <w:rsid w:val="00757AEA"/>
    <w:rsid w:val="00757EAD"/>
    <w:rsid w:val="0076000D"/>
    <w:rsid w:val="0076002D"/>
    <w:rsid w:val="007600BA"/>
    <w:rsid w:val="00760499"/>
    <w:rsid w:val="0076055E"/>
    <w:rsid w:val="00760AE1"/>
    <w:rsid w:val="00761015"/>
    <w:rsid w:val="0076153B"/>
    <w:rsid w:val="00761846"/>
    <w:rsid w:val="00761DDA"/>
    <w:rsid w:val="00762355"/>
    <w:rsid w:val="00763C53"/>
    <w:rsid w:val="00763FEA"/>
    <w:rsid w:val="0076551F"/>
    <w:rsid w:val="00765548"/>
    <w:rsid w:val="00767E81"/>
    <w:rsid w:val="007704E4"/>
    <w:rsid w:val="007709AD"/>
    <w:rsid w:val="00770C04"/>
    <w:rsid w:val="00771AAE"/>
    <w:rsid w:val="00772F16"/>
    <w:rsid w:val="00773595"/>
    <w:rsid w:val="00773A5F"/>
    <w:rsid w:val="00774830"/>
    <w:rsid w:val="00774EAE"/>
    <w:rsid w:val="00776E63"/>
    <w:rsid w:val="00777697"/>
    <w:rsid w:val="007778A8"/>
    <w:rsid w:val="00780184"/>
    <w:rsid w:val="007811CE"/>
    <w:rsid w:val="00781AC3"/>
    <w:rsid w:val="00781EB2"/>
    <w:rsid w:val="007828DC"/>
    <w:rsid w:val="00782A9E"/>
    <w:rsid w:val="007839E6"/>
    <w:rsid w:val="007843E2"/>
    <w:rsid w:val="00784446"/>
    <w:rsid w:val="007845FB"/>
    <w:rsid w:val="007848A7"/>
    <w:rsid w:val="007856B7"/>
    <w:rsid w:val="00785F3D"/>
    <w:rsid w:val="007865FC"/>
    <w:rsid w:val="00790400"/>
    <w:rsid w:val="007912EC"/>
    <w:rsid w:val="00792248"/>
    <w:rsid w:val="00792792"/>
    <w:rsid w:val="007932B1"/>
    <w:rsid w:val="007933B6"/>
    <w:rsid w:val="007947A4"/>
    <w:rsid w:val="007955DB"/>
    <w:rsid w:val="00795BD4"/>
    <w:rsid w:val="00795BE2"/>
    <w:rsid w:val="007970CD"/>
    <w:rsid w:val="00797160"/>
    <w:rsid w:val="00797F7B"/>
    <w:rsid w:val="007A0F95"/>
    <w:rsid w:val="007A1543"/>
    <w:rsid w:val="007A202C"/>
    <w:rsid w:val="007A22F7"/>
    <w:rsid w:val="007A37AF"/>
    <w:rsid w:val="007A3844"/>
    <w:rsid w:val="007A3B76"/>
    <w:rsid w:val="007A4102"/>
    <w:rsid w:val="007A43B8"/>
    <w:rsid w:val="007A5153"/>
    <w:rsid w:val="007A5E92"/>
    <w:rsid w:val="007A620C"/>
    <w:rsid w:val="007A6A76"/>
    <w:rsid w:val="007A7508"/>
    <w:rsid w:val="007A7523"/>
    <w:rsid w:val="007A754E"/>
    <w:rsid w:val="007A7889"/>
    <w:rsid w:val="007A7DA6"/>
    <w:rsid w:val="007B08B5"/>
    <w:rsid w:val="007B1A56"/>
    <w:rsid w:val="007B21BD"/>
    <w:rsid w:val="007B2238"/>
    <w:rsid w:val="007B318A"/>
    <w:rsid w:val="007B335B"/>
    <w:rsid w:val="007B3585"/>
    <w:rsid w:val="007B3885"/>
    <w:rsid w:val="007B3FBE"/>
    <w:rsid w:val="007B4007"/>
    <w:rsid w:val="007B45F2"/>
    <w:rsid w:val="007B4B1C"/>
    <w:rsid w:val="007B5117"/>
    <w:rsid w:val="007B5792"/>
    <w:rsid w:val="007B6449"/>
    <w:rsid w:val="007B668F"/>
    <w:rsid w:val="007B75DE"/>
    <w:rsid w:val="007C0048"/>
    <w:rsid w:val="007C027B"/>
    <w:rsid w:val="007C0966"/>
    <w:rsid w:val="007C0C16"/>
    <w:rsid w:val="007C0DDE"/>
    <w:rsid w:val="007C0FFD"/>
    <w:rsid w:val="007C2716"/>
    <w:rsid w:val="007C3A03"/>
    <w:rsid w:val="007C4044"/>
    <w:rsid w:val="007C4364"/>
    <w:rsid w:val="007C495D"/>
    <w:rsid w:val="007C5393"/>
    <w:rsid w:val="007C6F38"/>
    <w:rsid w:val="007D0299"/>
    <w:rsid w:val="007D08B1"/>
    <w:rsid w:val="007D0970"/>
    <w:rsid w:val="007D0C3C"/>
    <w:rsid w:val="007D0EEB"/>
    <w:rsid w:val="007D1540"/>
    <w:rsid w:val="007D209A"/>
    <w:rsid w:val="007D2439"/>
    <w:rsid w:val="007D2A44"/>
    <w:rsid w:val="007D3B6D"/>
    <w:rsid w:val="007D4549"/>
    <w:rsid w:val="007D4735"/>
    <w:rsid w:val="007D483E"/>
    <w:rsid w:val="007D4D1C"/>
    <w:rsid w:val="007D5EF0"/>
    <w:rsid w:val="007D629D"/>
    <w:rsid w:val="007D62F5"/>
    <w:rsid w:val="007D6E56"/>
    <w:rsid w:val="007D7309"/>
    <w:rsid w:val="007D73E8"/>
    <w:rsid w:val="007E0035"/>
    <w:rsid w:val="007E012D"/>
    <w:rsid w:val="007E0F09"/>
    <w:rsid w:val="007E12B0"/>
    <w:rsid w:val="007E1C18"/>
    <w:rsid w:val="007E1E81"/>
    <w:rsid w:val="007E2A39"/>
    <w:rsid w:val="007E2EB9"/>
    <w:rsid w:val="007E360B"/>
    <w:rsid w:val="007E3740"/>
    <w:rsid w:val="007E4461"/>
    <w:rsid w:val="007E4543"/>
    <w:rsid w:val="007E487E"/>
    <w:rsid w:val="007E48C0"/>
    <w:rsid w:val="007E4EC4"/>
    <w:rsid w:val="007E569A"/>
    <w:rsid w:val="007E5A98"/>
    <w:rsid w:val="007E63F6"/>
    <w:rsid w:val="007E6D85"/>
    <w:rsid w:val="007E6DAE"/>
    <w:rsid w:val="007E7365"/>
    <w:rsid w:val="007E790E"/>
    <w:rsid w:val="007E7D54"/>
    <w:rsid w:val="007F0472"/>
    <w:rsid w:val="007F0BAB"/>
    <w:rsid w:val="007F0E20"/>
    <w:rsid w:val="007F14F6"/>
    <w:rsid w:val="007F186F"/>
    <w:rsid w:val="007F2ED6"/>
    <w:rsid w:val="007F3E5C"/>
    <w:rsid w:val="007F42FD"/>
    <w:rsid w:val="007F538E"/>
    <w:rsid w:val="007F552A"/>
    <w:rsid w:val="007F5BBB"/>
    <w:rsid w:val="007F65D3"/>
    <w:rsid w:val="007F78E4"/>
    <w:rsid w:val="008012A4"/>
    <w:rsid w:val="008015E6"/>
    <w:rsid w:val="00801762"/>
    <w:rsid w:val="00801E4B"/>
    <w:rsid w:val="008028A7"/>
    <w:rsid w:val="00802EA4"/>
    <w:rsid w:val="008032FE"/>
    <w:rsid w:val="00803812"/>
    <w:rsid w:val="00803D80"/>
    <w:rsid w:val="00804779"/>
    <w:rsid w:val="00804E27"/>
    <w:rsid w:val="00804E92"/>
    <w:rsid w:val="008053CA"/>
    <w:rsid w:val="0080572E"/>
    <w:rsid w:val="00805E09"/>
    <w:rsid w:val="008066A0"/>
    <w:rsid w:val="00806902"/>
    <w:rsid w:val="00807B1F"/>
    <w:rsid w:val="00810C87"/>
    <w:rsid w:val="0081169F"/>
    <w:rsid w:val="00811F76"/>
    <w:rsid w:val="00812365"/>
    <w:rsid w:val="008124EF"/>
    <w:rsid w:val="008133AB"/>
    <w:rsid w:val="00813BE8"/>
    <w:rsid w:val="00813D6A"/>
    <w:rsid w:val="00814134"/>
    <w:rsid w:val="0081420C"/>
    <w:rsid w:val="00814483"/>
    <w:rsid w:val="00814AC0"/>
    <w:rsid w:val="00814BBD"/>
    <w:rsid w:val="00814D56"/>
    <w:rsid w:val="00814DE0"/>
    <w:rsid w:val="00815BF9"/>
    <w:rsid w:val="00815CC3"/>
    <w:rsid w:val="008165DE"/>
    <w:rsid w:val="008167E1"/>
    <w:rsid w:val="008176DB"/>
    <w:rsid w:val="00817C43"/>
    <w:rsid w:val="00817C7C"/>
    <w:rsid w:val="00820885"/>
    <w:rsid w:val="008216D9"/>
    <w:rsid w:val="008229CC"/>
    <w:rsid w:val="00823457"/>
    <w:rsid w:val="00824381"/>
    <w:rsid w:val="0082446C"/>
    <w:rsid w:val="008244E4"/>
    <w:rsid w:val="008263ED"/>
    <w:rsid w:val="008267FF"/>
    <w:rsid w:val="00827575"/>
    <w:rsid w:val="00827981"/>
    <w:rsid w:val="00827C8D"/>
    <w:rsid w:val="00827C95"/>
    <w:rsid w:val="008306A4"/>
    <w:rsid w:val="00830898"/>
    <w:rsid w:val="00830EB9"/>
    <w:rsid w:val="00831E2D"/>
    <w:rsid w:val="00833B78"/>
    <w:rsid w:val="00834E2B"/>
    <w:rsid w:val="0083522A"/>
    <w:rsid w:val="0083538E"/>
    <w:rsid w:val="00835A19"/>
    <w:rsid w:val="00835EE8"/>
    <w:rsid w:val="008362AA"/>
    <w:rsid w:val="00836C77"/>
    <w:rsid w:val="00836D35"/>
    <w:rsid w:val="00837037"/>
    <w:rsid w:val="00837126"/>
    <w:rsid w:val="0083756F"/>
    <w:rsid w:val="00837747"/>
    <w:rsid w:val="008379CF"/>
    <w:rsid w:val="00837C5D"/>
    <w:rsid w:val="008402F1"/>
    <w:rsid w:val="008405F9"/>
    <w:rsid w:val="0084070B"/>
    <w:rsid w:val="00840E99"/>
    <w:rsid w:val="008410C0"/>
    <w:rsid w:val="00841359"/>
    <w:rsid w:val="00841C9A"/>
    <w:rsid w:val="008421CE"/>
    <w:rsid w:val="00842590"/>
    <w:rsid w:val="00843591"/>
    <w:rsid w:val="008440BB"/>
    <w:rsid w:val="00844611"/>
    <w:rsid w:val="0084597D"/>
    <w:rsid w:val="008465F3"/>
    <w:rsid w:val="008466D2"/>
    <w:rsid w:val="00846706"/>
    <w:rsid w:val="00846BCB"/>
    <w:rsid w:val="008472DC"/>
    <w:rsid w:val="00847514"/>
    <w:rsid w:val="00847891"/>
    <w:rsid w:val="0085083F"/>
    <w:rsid w:val="0085144B"/>
    <w:rsid w:val="00851AB9"/>
    <w:rsid w:val="00851E64"/>
    <w:rsid w:val="00852F93"/>
    <w:rsid w:val="0085342E"/>
    <w:rsid w:val="00854028"/>
    <w:rsid w:val="0085454E"/>
    <w:rsid w:val="0085466E"/>
    <w:rsid w:val="008548AD"/>
    <w:rsid w:val="00855C64"/>
    <w:rsid w:val="00855DE4"/>
    <w:rsid w:val="0085669B"/>
    <w:rsid w:val="00857171"/>
    <w:rsid w:val="008573B9"/>
    <w:rsid w:val="008573E2"/>
    <w:rsid w:val="008579A9"/>
    <w:rsid w:val="00857C6B"/>
    <w:rsid w:val="0086080B"/>
    <w:rsid w:val="008619EB"/>
    <w:rsid w:val="008620CB"/>
    <w:rsid w:val="00862654"/>
    <w:rsid w:val="00862BD5"/>
    <w:rsid w:val="0086350C"/>
    <w:rsid w:val="0086384A"/>
    <w:rsid w:val="00863900"/>
    <w:rsid w:val="00864C23"/>
    <w:rsid w:val="00865C89"/>
    <w:rsid w:val="00870B4C"/>
    <w:rsid w:val="00871B63"/>
    <w:rsid w:val="00872A9D"/>
    <w:rsid w:val="00872DA9"/>
    <w:rsid w:val="00873879"/>
    <w:rsid w:val="00873887"/>
    <w:rsid w:val="00874D92"/>
    <w:rsid w:val="00875D62"/>
    <w:rsid w:val="00876745"/>
    <w:rsid w:val="00877677"/>
    <w:rsid w:val="008777C5"/>
    <w:rsid w:val="00877F01"/>
    <w:rsid w:val="00880014"/>
    <w:rsid w:val="00880A6A"/>
    <w:rsid w:val="00880AFC"/>
    <w:rsid w:val="00881191"/>
    <w:rsid w:val="008818EA"/>
    <w:rsid w:val="00881AA3"/>
    <w:rsid w:val="008821EC"/>
    <w:rsid w:val="00882A37"/>
    <w:rsid w:val="00882AA8"/>
    <w:rsid w:val="00883761"/>
    <w:rsid w:val="008838FE"/>
    <w:rsid w:val="0088458B"/>
    <w:rsid w:val="00884774"/>
    <w:rsid w:val="00884D22"/>
    <w:rsid w:val="008858D8"/>
    <w:rsid w:val="008859C3"/>
    <w:rsid w:val="00886A3C"/>
    <w:rsid w:val="00886E00"/>
    <w:rsid w:val="0088717C"/>
    <w:rsid w:val="008871A5"/>
    <w:rsid w:val="00887781"/>
    <w:rsid w:val="00887D78"/>
    <w:rsid w:val="0089031E"/>
    <w:rsid w:val="008913F8"/>
    <w:rsid w:val="00891458"/>
    <w:rsid w:val="0089210A"/>
    <w:rsid w:val="008922A6"/>
    <w:rsid w:val="008924C2"/>
    <w:rsid w:val="0089331B"/>
    <w:rsid w:val="0089347C"/>
    <w:rsid w:val="00893A29"/>
    <w:rsid w:val="0089496F"/>
    <w:rsid w:val="008950E3"/>
    <w:rsid w:val="00895683"/>
    <w:rsid w:val="00895CCB"/>
    <w:rsid w:val="008962BE"/>
    <w:rsid w:val="00896472"/>
    <w:rsid w:val="00896601"/>
    <w:rsid w:val="00896B75"/>
    <w:rsid w:val="00896DD3"/>
    <w:rsid w:val="00897359"/>
    <w:rsid w:val="0089743C"/>
    <w:rsid w:val="008978BA"/>
    <w:rsid w:val="00897C27"/>
    <w:rsid w:val="00897D58"/>
    <w:rsid w:val="008A02A3"/>
    <w:rsid w:val="008A08BD"/>
    <w:rsid w:val="008A1EBA"/>
    <w:rsid w:val="008A2493"/>
    <w:rsid w:val="008A3793"/>
    <w:rsid w:val="008A42D8"/>
    <w:rsid w:val="008A4628"/>
    <w:rsid w:val="008A4736"/>
    <w:rsid w:val="008A48AA"/>
    <w:rsid w:val="008A49FA"/>
    <w:rsid w:val="008A4F07"/>
    <w:rsid w:val="008A544E"/>
    <w:rsid w:val="008A56D7"/>
    <w:rsid w:val="008A77EA"/>
    <w:rsid w:val="008B1C5E"/>
    <w:rsid w:val="008B2DF8"/>
    <w:rsid w:val="008B2E0D"/>
    <w:rsid w:val="008B3065"/>
    <w:rsid w:val="008B3E9C"/>
    <w:rsid w:val="008B4977"/>
    <w:rsid w:val="008B51A4"/>
    <w:rsid w:val="008B5414"/>
    <w:rsid w:val="008B5C2E"/>
    <w:rsid w:val="008B72B8"/>
    <w:rsid w:val="008B7A6E"/>
    <w:rsid w:val="008B7FD3"/>
    <w:rsid w:val="008C0FFF"/>
    <w:rsid w:val="008C18BB"/>
    <w:rsid w:val="008C1921"/>
    <w:rsid w:val="008C1DFB"/>
    <w:rsid w:val="008C1E44"/>
    <w:rsid w:val="008C2726"/>
    <w:rsid w:val="008C28C5"/>
    <w:rsid w:val="008C2950"/>
    <w:rsid w:val="008C2DE1"/>
    <w:rsid w:val="008C3256"/>
    <w:rsid w:val="008C36E4"/>
    <w:rsid w:val="008C484D"/>
    <w:rsid w:val="008C4D9D"/>
    <w:rsid w:val="008C4F86"/>
    <w:rsid w:val="008C535C"/>
    <w:rsid w:val="008C555A"/>
    <w:rsid w:val="008C5CE0"/>
    <w:rsid w:val="008C5DE0"/>
    <w:rsid w:val="008C61EB"/>
    <w:rsid w:val="008C66C8"/>
    <w:rsid w:val="008C6ACE"/>
    <w:rsid w:val="008C70C6"/>
    <w:rsid w:val="008D044E"/>
    <w:rsid w:val="008D0A37"/>
    <w:rsid w:val="008D167A"/>
    <w:rsid w:val="008D2A26"/>
    <w:rsid w:val="008D2C6F"/>
    <w:rsid w:val="008D2C78"/>
    <w:rsid w:val="008D3141"/>
    <w:rsid w:val="008D4879"/>
    <w:rsid w:val="008D502B"/>
    <w:rsid w:val="008D5137"/>
    <w:rsid w:val="008D5A73"/>
    <w:rsid w:val="008D5DAA"/>
    <w:rsid w:val="008D636A"/>
    <w:rsid w:val="008D6DDD"/>
    <w:rsid w:val="008D79E1"/>
    <w:rsid w:val="008D7E81"/>
    <w:rsid w:val="008E002C"/>
    <w:rsid w:val="008E01E0"/>
    <w:rsid w:val="008E0B2A"/>
    <w:rsid w:val="008E0E43"/>
    <w:rsid w:val="008E20D4"/>
    <w:rsid w:val="008E328A"/>
    <w:rsid w:val="008E3D8A"/>
    <w:rsid w:val="008E4426"/>
    <w:rsid w:val="008E4691"/>
    <w:rsid w:val="008E50C9"/>
    <w:rsid w:val="008E54E9"/>
    <w:rsid w:val="008E58D7"/>
    <w:rsid w:val="008E6637"/>
    <w:rsid w:val="008E667C"/>
    <w:rsid w:val="008E6C09"/>
    <w:rsid w:val="008E6E6F"/>
    <w:rsid w:val="008E7881"/>
    <w:rsid w:val="008E7C9B"/>
    <w:rsid w:val="008F0C5A"/>
    <w:rsid w:val="008F1085"/>
    <w:rsid w:val="008F17A5"/>
    <w:rsid w:val="008F1964"/>
    <w:rsid w:val="008F26C9"/>
    <w:rsid w:val="008F4044"/>
    <w:rsid w:val="008F451E"/>
    <w:rsid w:val="008F4A8A"/>
    <w:rsid w:val="008F4B86"/>
    <w:rsid w:val="008F4FF0"/>
    <w:rsid w:val="008F5BDB"/>
    <w:rsid w:val="008F5F53"/>
    <w:rsid w:val="008F60F3"/>
    <w:rsid w:val="008F63FE"/>
    <w:rsid w:val="008F69CB"/>
    <w:rsid w:val="008F7175"/>
    <w:rsid w:val="0090005D"/>
    <w:rsid w:val="00900201"/>
    <w:rsid w:val="00900A04"/>
    <w:rsid w:val="00900CBD"/>
    <w:rsid w:val="00901AA9"/>
    <w:rsid w:val="00901B2E"/>
    <w:rsid w:val="00901B5A"/>
    <w:rsid w:val="00901C2A"/>
    <w:rsid w:val="00904AEA"/>
    <w:rsid w:val="0090567F"/>
    <w:rsid w:val="00905A47"/>
    <w:rsid w:val="00905FB1"/>
    <w:rsid w:val="0090604F"/>
    <w:rsid w:val="00907088"/>
    <w:rsid w:val="0090769D"/>
    <w:rsid w:val="00907C08"/>
    <w:rsid w:val="009102D1"/>
    <w:rsid w:val="00911205"/>
    <w:rsid w:val="00911309"/>
    <w:rsid w:val="009113D4"/>
    <w:rsid w:val="00911661"/>
    <w:rsid w:val="00912134"/>
    <w:rsid w:val="009133AB"/>
    <w:rsid w:val="0091418D"/>
    <w:rsid w:val="009148F9"/>
    <w:rsid w:val="00914BBF"/>
    <w:rsid w:val="00916B27"/>
    <w:rsid w:val="00916C65"/>
    <w:rsid w:val="00916D9C"/>
    <w:rsid w:val="00917075"/>
    <w:rsid w:val="00917E84"/>
    <w:rsid w:val="00920453"/>
    <w:rsid w:val="009211C0"/>
    <w:rsid w:val="009211C6"/>
    <w:rsid w:val="00921B4E"/>
    <w:rsid w:val="00921D2C"/>
    <w:rsid w:val="00921DF9"/>
    <w:rsid w:val="00922347"/>
    <w:rsid w:val="0092249C"/>
    <w:rsid w:val="0092312A"/>
    <w:rsid w:val="0092345C"/>
    <w:rsid w:val="00924007"/>
    <w:rsid w:val="009241DD"/>
    <w:rsid w:val="009244CA"/>
    <w:rsid w:val="00924ACC"/>
    <w:rsid w:val="00925488"/>
    <w:rsid w:val="009258BF"/>
    <w:rsid w:val="00925FBF"/>
    <w:rsid w:val="0092645C"/>
    <w:rsid w:val="0092658E"/>
    <w:rsid w:val="00926613"/>
    <w:rsid w:val="00926964"/>
    <w:rsid w:val="00926C88"/>
    <w:rsid w:val="00927018"/>
    <w:rsid w:val="009274A9"/>
    <w:rsid w:val="009275EC"/>
    <w:rsid w:val="0092785B"/>
    <w:rsid w:val="0093075C"/>
    <w:rsid w:val="00930ADA"/>
    <w:rsid w:val="009313D3"/>
    <w:rsid w:val="00931776"/>
    <w:rsid w:val="00931B73"/>
    <w:rsid w:val="00932C83"/>
    <w:rsid w:val="00932C9C"/>
    <w:rsid w:val="009331F0"/>
    <w:rsid w:val="00934289"/>
    <w:rsid w:val="0093514D"/>
    <w:rsid w:val="00935829"/>
    <w:rsid w:val="00935DFC"/>
    <w:rsid w:val="00936F23"/>
    <w:rsid w:val="009374DD"/>
    <w:rsid w:val="00940AF9"/>
    <w:rsid w:val="00940CB2"/>
    <w:rsid w:val="009410E7"/>
    <w:rsid w:val="009410FA"/>
    <w:rsid w:val="00941FDC"/>
    <w:rsid w:val="009423B2"/>
    <w:rsid w:val="009424A2"/>
    <w:rsid w:val="009424F0"/>
    <w:rsid w:val="00942950"/>
    <w:rsid w:val="009429D9"/>
    <w:rsid w:val="009431FF"/>
    <w:rsid w:val="009437EA"/>
    <w:rsid w:val="0094382F"/>
    <w:rsid w:val="00943AC0"/>
    <w:rsid w:val="00944CDC"/>
    <w:rsid w:val="009458A5"/>
    <w:rsid w:val="00946282"/>
    <w:rsid w:val="0094669E"/>
    <w:rsid w:val="00946C61"/>
    <w:rsid w:val="0094704F"/>
    <w:rsid w:val="0094725C"/>
    <w:rsid w:val="00947EC4"/>
    <w:rsid w:val="00950069"/>
    <w:rsid w:val="009503B0"/>
    <w:rsid w:val="0095051B"/>
    <w:rsid w:val="00950A92"/>
    <w:rsid w:val="00950C9C"/>
    <w:rsid w:val="00950F19"/>
    <w:rsid w:val="00951245"/>
    <w:rsid w:val="009525E7"/>
    <w:rsid w:val="00952AD7"/>
    <w:rsid w:val="0095333C"/>
    <w:rsid w:val="0095406C"/>
    <w:rsid w:val="00955168"/>
    <w:rsid w:val="0095523D"/>
    <w:rsid w:val="00955664"/>
    <w:rsid w:val="00955D98"/>
    <w:rsid w:val="00956983"/>
    <w:rsid w:val="00956ECE"/>
    <w:rsid w:val="00961A5C"/>
    <w:rsid w:val="00962BE0"/>
    <w:rsid w:val="00962C1F"/>
    <w:rsid w:val="00962E9F"/>
    <w:rsid w:val="00962FFF"/>
    <w:rsid w:val="00963740"/>
    <w:rsid w:val="00963B13"/>
    <w:rsid w:val="00963DC8"/>
    <w:rsid w:val="00963EE8"/>
    <w:rsid w:val="00964834"/>
    <w:rsid w:val="0096489D"/>
    <w:rsid w:val="0096533C"/>
    <w:rsid w:val="00966299"/>
    <w:rsid w:val="0096640F"/>
    <w:rsid w:val="00966751"/>
    <w:rsid w:val="00967473"/>
    <w:rsid w:val="00967E3F"/>
    <w:rsid w:val="009701EE"/>
    <w:rsid w:val="009706F8"/>
    <w:rsid w:val="00970D42"/>
    <w:rsid w:val="009711D6"/>
    <w:rsid w:val="00971753"/>
    <w:rsid w:val="00971E7D"/>
    <w:rsid w:val="009737E1"/>
    <w:rsid w:val="009745D9"/>
    <w:rsid w:val="00974B7A"/>
    <w:rsid w:val="009750C3"/>
    <w:rsid w:val="009750D6"/>
    <w:rsid w:val="00975829"/>
    <w:rsid w:val="00975B7E"/>
    <w:rsid w:val="00976398"/>
    <w:rsid w:val="00976902"/>
    <w:rsid w:val="00977A07"/>
    <w:rsid w:val="0098051D"/>
    <w:rsid w:val="009807BB"/>
    <w:rsid w:val="009809F0"/>
    <w:rsid w:val="00980E02"/>
    <w:rsid w:val="009813DF"/>
    <w:rsid w:val="00981611"/>
    <w:rsid w:val="00981EFA"/>
    <w:rsid w:val="009820E1"/>
    <w:rsid w:val="009824A9"/>
    <w:rsid w:val="00984456"/>
    <w:rsid w:val="009851B9"/>
    <w:rsid w:val="00985958"/>
    <w:rsid w:val="00985ABD"/>
    <w:rsid w:val="00985C13"/>
    <w:rsid w:val="00985D0A"/>
    <w:rsid w:val="00986348"/>
    <w:rsid w:val="009863BA"/>
    <w:rsid w:val="009864B0"/>
    <w:rsid w:val="009867BA"/>
    <w:rsid w:val="009876CC"/>
    <w:rsid w:val="0098793B"/>
    <w:rsid w:val="00987DB7"/>
    <w:rsid w:val="00987E2F"/>
    <w:rsid w:val="00990903"/>
    <w:rsid w:val="00990C62"/>
    <w:rsid w:val="00990D6B"/>
    <w:rsid w:val="00991B1D"/>
    <w:rsid w:val="0099210E"/>
    <w:rsid w:val="0099219E"/>
    <w:rsid w:val="009927D3"/>
    <w:rsid w:val="00992CF2"/>
    <w:rsid w:val="0099328A"/>
    <w:rsid w:val="009932BA"/>
    <w:rsid w:val="00993428"/>
    <w:rsid w:val="009935B4"/>
    <w:rsid w:val="00993D58"/>
    <w:rsid w:val="00994015"/>
    <w:rsid w:val="00994365"/>
    <w:rsid w:val="00995060"/>
    <w:rsid w:val="00995068"/>
    <w:rsid w:val="00995E1B"/>
    <w:rsid w:val="009A0167"/>
    <w:rsid w:val="009A0F6B"/>
    <w:rsid w:val="009A16DE"/>
    <w:rsid w:val="009A1B9D"/>
    <w:rsid w:val="009A2465"/>
    <w:rsid w:val="009A3882"/>
    <w:rsid w:val="009A3B04"/>
    <w:rsid w:val="009A438D"/>
    <w:rsid w:val="009A45D4"/>
    <w:rsid w:val="009A4683"/>
    <w:rsid w:val="009A48A3"/>
    <w:rsid w:val="009A4B00"/>
    <w:rsid w:val="009A4D69"/>
    <w:rsid w:val="009A4DE3"/>
    <w:rsid w:val="009A5741"/>
    <w:rsid w:val="009A5BFF"/>
    <w:rsid w:val="009A6323"/>
    <w:rsid w:val="009A6861"/>
    <w:rsid w:val="009B03E7"/>
    <w:rsid w:val="009B04B7"/>
    <w:rsid w:val="009B1121"/>
    <w:rsid w:val="009B1128"/>
    <w:rsid w:val="009B16FE"/>
    <w:rsid w:val="009B220B"/>
    <w:rsid w:val="009B232E"/>
    <w:rsid w:val="009B2366"/>
    <w:rsid w:val="009B2AE0"/>
    <w:rsid w:val="009B2D8E"/>
    <w:rsid w:val="009B34EB"/>
    <w:rsid w:val="009B415B"/>
    <w:rsid w:val="009B4C8F"/>
    <w:rsid w:val="009B5234"/>
    <w:rsid w:val="009B5332"/>
    <w:rsid w:val="009B5C53"/>
    <w:rsid w:val="009B6D28"/>
    <w:rsid w:val="009B7526"/>
    <w:rsid w:val="009C0634"/>
    <w:rsid w:val="009C09D2"/>
    <w:rsid w:val="009C0C04"/>
    <w:rsid w:val="009C1AE4"/>
    <w:rsid w:val="009C1C74"/>
    <w:rsid w:val="009C1F76"/>
    <w:rsid w:val="009C2855"/>
    <w:rsid w:val="009C2A1C"/>
    <w:rsid w:val="009C2ABF"/>
    <w:rsid w:val="009C2BEF"/>
    <w:rsid w:val="009C2CE6"/>
    <w:rsid w:val="009C45E3"/>
    <w:rsid w:val="009C46B5"/>
    <w:rsid w:val="009C4D27"/>
    <w:rsid w:val="009C5A7C"/>
    <w:rsid w:val="009C7196"/>
    <w:rsid w:val="009D0900"/>
    <w:rsid w:val="009D1275"/>
    <w:rsid w:val="009D2041"/>
    <w:rsid w:val="009D3253"/>
    <w:rsid w:val="009D40FE"/>
    <w:rsid w:val="009D42B5"/>
    <w:rsid w:val="009D4ACA"/>
    <w:rsid w:val="009D508E"/>
    <w:rsid w:val="009D56B5"/>
    <w:rsid w:val="009D5A98"/>
    <w:rsid w:val="009D5BF3"/>
    <w:rsid w:val="009D6770"/>
    <w:rsid w:val="009D7444"/>
    <w:rsid w:val="009D7532"/>
    <w:rsid w:val="009D7C7C"/>
    <w:rsid w:val="009E0A0C"/>
    <w:rsid w:val="009E0C90"/>
    <w:rsid w:val="009E1B05"/>
    <w:rsid w:val="009E1EC4"/>
    <w:rsid w:val="009E21CE"/>
    <w:rsid w:val="009E2EB5"/>
    <w:rsid w:val="009E4767"/>
    <w:rsid w:val="009E4B92"/>
    <w:rsid w:val="009E55B5"/>
    <w:rsid w:val="009E571B"/>
    <w:rsid w:val="009E5AA1"/>
    <w:rsid w:val="009E6331"/>
    <w:rsid w:val="009E7650"/>
    <w:rsid w:val="009E7C82"/>
    <w:rsid w:val="009F0A26"/>
    <w:rsid w:val="009F10EF"/>
    <w:rsid w:val="009F29EF"/>
    <w:rsid w:val="009F2F9C"/>
    <w:rsid w:val="009F3BB3"/>
    <w:rsid w:val="009F3E4A"/>
    <w:rsid w:val="009F44A1"/>
    <w:rsid w:val="009F4F87"/>
    <w:rsid w:val="009F52D7"/>
    <w:rsid w:val="009F5906"/>
    <w:rsid w:val="009F5B3B"/>
    <w:rsid w:val="009F5E48"/>
    <w:rsid w:val="009F6B20"/>
    <w:rsid w:val="009F6C95"/>
    <w:rsid w:val="009F6F4C"/>
    <w:rsid w:val="009F70B3"/>
    <w:rsid w:val="009F740D"/>
    <w:rsid w:val="009F74F5"/>
    <w:rsid w:val="009F7FC3"/>
    <w:rsid w:val="00A00501"/>
    <w:rsid w:val="00A006D4"/>
    <w:rsid w:val="00A00AAC"/>
    <w:rsid w:val="00A01127"/>
    <w:rsid w:val="00A04353"/>
    <w:rsid w:val="00A0457F"/>
    <w:rsid w:val="00A05BAD"/>
    <w:rsid w:val="00A066D4"/>
    <w:rsid w:val="00A06B78"/>
    <w:rsid w:val="00A0772D"/>
    <w:rsid w:val="00A07991"/>
    <w:rsid w:val="00A07A54"/>
    <w:rsid w:val="00A07ED5"/>
    <w:rsid w:val="00A106A3"/>
    <w:rsid w:val="00A12AE1"/>
    <w:rsid w:val="00A137F8"/>
    <w:rsid w:val="00A13F1B"/>
    <w:rsid w:val="00A1400D"/>
    <w:rsid w:val="00A141AA"/>
    <w:rsid w:val="00A14881"/>
    <w:rsid w:val="00A14BC5"/>
    <w:rsid w:val="00A14E61"/>
    <w:rsid w:val="00A15155"/>
    <w:rsid w:val="00A1550B"/>
    <w:rsid w:val="00A1640A"/>
    <w:rsid w:val="00A16A6C"/>
    <w:rsid w:val="00A17FAF"/>
    <w:rsid w:val="00A2048E"/>
    <w:rsid w:val="00A21478"/>
    <w:rsid w:val="00A227A3"/>
    <w:rsid w:val="00A22C04"/>
    <w:rsid w:val="00A23486"/>
    <w:rsid w:val="00A2410A"/>
    <w:rsid w:val="00A2615F"/>
    <w:rsid w:val="00A26CA2"/>
    <w:rsid w:val="00A26F5E"/>
    <w:rsid w:val="00A27FC9"/>
    <w:rsid w:val="00A30860"/>
    <w:rsid w:val="00A311A6"/>
    <w:rsid w:val="00A3139D"/>
    <w:rsid w:val="00A31A6B"/>
    <w:rsid w:val="00A329BB"/>
    <w:rsid w:val="00A330E8"/>
    <w:rsid w:val="00A33BCA"/>
    <w:rsid w:val="00A35999"/>
    <w:rsid w:val="00A35FDC"/>
    <w:rsid w:val="00A3632A"/>
    <w:rsid w:val="00A367CD"/>
    <w:rsid w:val="00A37AF7"/>
    <w:rsid w:val="00A40E8E"/>
    <w:rsid w:val="00A41333"/>
    <w:rsid w:val="00A41D36"/>
    <w:rsid w:val="00A422A6"/>
    <w:rsid w:val="00A42B07"/>
    <w:rsid w:val="00A42F75"/>
    <w:rsid w:val="00A43287"/>
    <w:rsid w:val="00A439AE"/>
    <w:rsid w:val="00A43CA6"/>
    <w:rsid w:val="00A44196"/>
    <w:rsid w:val="00A44450"/>
    <w:rsid w:val="00A44974"/>
    <w:rsid w:val="00A44C29"/>
    <w:rsid w:val="00A45412"/>
    <w:rsid w:val="00A4558F"/>
    <w:rsid w:val="00A456DD"/>
    <w:rsid w:val="00A45972"/>
    <w:rsid w:val="00A467B3"/>
    <w:rsid w:val="00A46909"/>
    <w:rsid w:val="00A47033"/>
    <w:rsid w:val="00A4736B"/>
    <w:rsid w:val="00A47567"/>
    <w:rsid w:val="00A475CB"/>
    <w:rsid w:val="00A50A67"/>
    <w:rsid w:val="00A51464"/>
    <w:rsid w:val="00A5298A"/>
    <w:rsid w:val="00A52AD6"/>
    <w:rsid w:val="00A53085"/>
    <w:rsid w:val="00A53EBB"/>
    <w:rsid w:val="00A54865"/>
    <w:rsid w:val="00A54E0A"/>
    <w:rsid w:val="00A55AFF"/>
    <w:rsid w:val="00A55E30"/>
    <w:rsid w:val="00A56678"/>
    <w:rsid w:val="00A56B52"/>
    <w:rsid w:val="00A56E7D"/>
    <w:rsid w:val="00A5782E"/>
    <w:rsid w:val="00A57AE1"/>
    <w:rsid w:val="00A57D1E"/>
    <w:rsid w:val="00A57D56"/>
    <w:rsid w:val="00A602E3"/>
    <w:rsid w:val="00A604D6"/>
    <w:rsid w:val="00A60512"/>
    <w:rsid w:val="00A60FBB"/>
    <w:rsid w:val="00A62A1D"/>
    <w:rsid w:val="00A6302A"/>
    <w:rsid w:val="00A646F7"/>
    <w:rsid w:val="00A65D17"/>
    <w:rsid w:val="00A6628F"/>
    <w:rsid w:val="00A66310"/>
    <w:rsid w:val="00A6696A"/>
    <w:rsid w:val="00A66B99"/>
    <w:rsid w:val="00A67242"/>
    <w:rsid w:val="00A67792"/>
    <w:rsid w:val="00A678FB"/>
    <w:rsid w:val="00A679CA"/>
    <w:rsid w:val="00A70170"/>
    <w:rsid w:val="00A70375"/>
    <w:rsid w:val="00A71C15"/>
    <w:rsid w:val="00A72B73"/>
    <w:rsid w:val="00A74963"/>
    <w:rsid w:val="00A74BCB"/>
    <w:rsid w:val="00A74CA5"/>
    <w:rsid w:val="00A76C34"/>
    <w:rsid w:val="00A7737D"/>
    <w:rsid w:val="00A77AF3"/>
    <w:rsid w:val="00A80D53"/>
    <w:rsid w:val="00A821F2"/>
    <w:rsid w:val="00A82581"/>
    <w:rsid w:val="00A825A2"/>
    <w:rsid w:val="00A832C3"/>
    <w:rsid w:val="00A838C1"/>
    <w:rsid w:val="00A843AB"/>
    <w:rsid w:val="00A86F86"/>
    <w:rsid w:val="00A86F8C"/>
    <w:rsid w:val="00A9100F"/>
    <w:rsid w:val="00A92611"/>
    <w:rsid w:val="00A93168"/>
    <w:rsid w:val="00A94662"/>
    <w:rsid w:val="00A95042"/>
    <w:rsid w:val="00A9528E"/>
    <w:rsid w:val="00A95433"/>
    <w:rsid w:val="00A95E10"/>
    <w:rsid w:val="00A95ECA"/>
    <w:rsid w:val="00A966D8"/>
    <w:rsid w:val="00A96E3F"/>
    <w:rsid w:val="00A976F6"/>
    <w:rsid w:val="00A97805"/>
    <w:rsid w:val="00AA0192"/>
    <w:rsid w:val="00AA037E"/>
    <w:rsid w:val="00AA0B8B"/>
    <w:rsid w:val="00AA1088"/>
    <w:rsid w:val="00AA1BB0"/>
    <w:rsid w:val="00AA2006"/>
    <w:rsid w:val="00AA3791"/>
    <w:rsid w:val="00AA386F"/>
    <w:rsid w:val="00AA3DCA"/>
    <w:rsid w:val="00AA43D4"/>
    <w:rsid w:val="00AA5102"/>
    <w:rsid w:val="00AA5890"/>
    <w:rsid w:val="00AA5BBB"/>
    <w:rsid w:val="00AA5F71"/>
    <w:rsid w:val="00AA71CF"/>
    <w:rsid w:val="00AA7E8F"/>
    <w:rsid w:val="00AB17F4"/>
    <w:rsid w:val="00AB19F5"/>
    <w:rsid w:val="00AB1A1F"/>
    <w:rsid w:val="00AB24F8"/>
    <w:rsid w:val="00AB3507"/>
    <w:rsid w:val="00AB3789"/>
    <w:rsid w:val="00AB4D8E"/>
    <w:rsid w:val="00AB4F85"/>
    <w:rsid w:val="00AB5398"/>
    <w:rsid w:val="00AB6069"/>
    <w:rsid w:val="00AB664F"/>
    <w:rsid w:val="00AC049B"/>
    <w:rsid w:val="00AC06FA"/>
    <w:rsid w:val="00AC0AF6"/>
    <w:rsid w:val="00AC100A"/>
    <w:rsid w:val="00AC1A41"/>
    <w:rsid w:val="00AC1ADF"/>
    <w:rsid w:val="00AC2C8F"/>
    <w:rsid w:val="00AC3A33"/>
    <w:rsid w:val="00AC42D0"/>
    <w:rsid w:val="00AC4554"/>
    <w:rsid w:val="00AC5928"/>
    <w:rsid w:val="00AC6090"/>
    <w:rsid w:val="00AC6185"/>
    <w:rsid w:val="00AC6747"/>
    <w:rsid w:val="00AD073E"/>
    <w:rsid w:val="00AD1A07"/>
    <w:rsid w:val="00AD2E22"/>
    <w:rsid w:val="00AD321F"/>
    <w:rsid w:val="00AD3799"/>
    <w:rsid w:val="00AD3DB3"/>
    <w:rsid w:val="00AD425F"/>
    <w:rsid w:val="00AD6ADE"/>
    <w:rsid w:val="00AE0271"/>
    <w:rsid w:val="00AE038D"/>
    <w:rsid w:val="00AE0745"/>
    <w:rsid w:val="00AE12FE"/>
    <w:rsid w:val="00AE1716"/>
    <w:rsid w:val="00AE180D"/>
    <w:rsid w:val="00AE1D00"/>
    <w:rsid w:val="00AE241A"/>
    <w:rsid w:val="00AE33FC"/>
    <w:rsid w:val="00AE3763"/>
    <w:rsid w:val="00AE382E"/>
    <w:rsid w:val="00AE4432"/>
    <w:rsid w:val="00AE5247"/>
    <w:rsid w:val="00AE569A"/>
    <w:rsid w:val="00AE5A25"/>
    <w:rsid w:val="00AE6983"/>
    <w:rsid w:val="00AE6BE1"/>
    <w:rsid w:val="00AE6CA0"/>
    <w:rsid w:val="00AE703A"/>
    <w:rsid w:val="00AE77E4"/>
    <w:rsid w:val="00AE78FB"/>
    <w:rsid w:val="00AE79B8"/>
    <w:rsid w:val="00AF0F0E"/>
    <w:rsid w:val="00AF1D59"/>
    <w:rsid w:val="00AF31A3"/>
    <w:rsid w:val="00AF3B72"/>
    <w:rsid w:val="00AF3FF1"/>
    <w:rsid w:val="00AF47E7"/>
    <w:rsid w:val="00AF4F47"/>
    <w:rsid w:val="00AF5D04"/>
    <w:rsid w:val="00AF5EB6"/>
    <w:rsid w:val="00AF6099"/>
    <w:rsid w:val="00AF66D4"/>
    <w:rsid w:val="00AF6D0E"/>
    <w:rsid w:val="00AF7857"/>
    <w:rsid w:val="00B000A6"/>
    <w:rsid w:val="00B001F0"/>
    <w:rsid w:val="00B007F2"/>
    <w:rsid w:val="00B01519"/>
    <w:rsid w:val="00B01978"/>
    <w:rsid w:val="00B01E2C"/>
    <w:rsid w:val="00B01FDD"/>
    <w:rsid w:val="00B0223C"/>
    <w:rsid w:val="00B02BBF"/>
    <w:rsid w:val="00B02F1C"/>
    <w:rsid w:val="00B04BDC"/>
    <w:rsid w:val="00B05556"/>
    <w:rsid w:val="00B062F0"/>
    <w:rsid w:val="00B06EB6"/>
    <w:rsid w:val="00B073AF"/>
    <w:rsid w:val="00B114E8"/>
    <w:rsid w:val="00B11817"/>
    <w:rsid w:val="00B12EEF"/>
    <w:rsid w:val="00B12F1A"/>
    <w:rsid w:val="00B12F1F"/>
    <w:rsid w:val="00B1311E"/>
    <w:rsid w:val="00B13136"/>
    <w:rsid w:val="00B1371E"/>
    <w:rsid w:val="00B13AA9"/>
    <w:rsid w:val="00B14CBC"/>
    <w:rsid w:val="00B14FC7"/>
    <w:rsid w:val="00B15255"/>
    <w:rsid w:val="00B16905"/>
    <w:rsid w:val="00B174BA"/>
    <w:rsid w:val="00B17C51"/>
    <w:rsid w:val="00B2075C"/>
    <w:rsid w:val="00B20FAA"/>
    <w:rsid w:val="00B2122A"/>
    <w:rsid w:val="00B2179B"/>
    <w:rsid w:val="00B21D0C"/>
    <w:rsid w:val="00B21EEF"/>
    <w:rsid w:val="00B2296A"/>
    <w:rsid w:val="00B237AB"/>
    <w:rsid w:val="00B239A9"/>
    <w:rsid w:val="00B23A5F"/>
    <w:rsid w:val="00B247AA"/>
    <w:rsid w:val="00B24D0F"/>
    <w:rsid w:val="00B24D67"/>
    <w:rsid w:val="00B25E2A"/>
    <w:rsid w:val="00B25E5A"/>
    <w:rsid w:val="00B26364"/>
    <w:rsid w:val="00B26961"/>
    <w:rsid w:val="00B269B5"/>
    <w:rsid w:val="00B3004A"/>
    <w:rsid w:val="00B30205"/>
    <w:rsid w:val="00B30C46"/>
    <w:rsid w:val="00B31EB0"/>
    <w:rsid w:val="00B32C6B"/>
    <w:rsid w:val="00B339D9"/>
    <w:rsid w:val="00B344AE"/>
    <w:rsid w:val="00B34E81"/>
    <w:rsid w:val="00B35495"/>
    <w:rsid w:val="00B355F3"/>
    <w:rsid w:val="00B35CCB"/>
    <w:rsid w:val="00B35ECE"/>
    <w:rsid w:val="00B37411"/>
    <w:rsid w:val="00B37764"/>
    <w:rsid w:val="00B37D3D"/>
    <w:rsid w:val="00B37E05"/>
    <w:rsid w:val="00B40315"/>
    <w:rsid w:val="00B40B24"/>
    <w:rsid w:val="00B41DE3"/>
    <w:rsid w:val="00B43016"/>
    <w:rsid w:val="00B45023"/>
    <w:rsid w:val="00B453AE"/>
    <w:rsid w:val="00B456BD"/>
    <w:rsid w:val="00B45E3F"/>
    <w:rsid w:val="00B45EB0"/>
    <w:rsid w:val="00B46204"/>
    <w:rsid w:val="00B50573"/>
    <w:rsid w:val="00B50E73"/>
    <w:rsid w:val="00B5138B"/>
    <w:rsid w:val="00B51E10"/>
    <w:rsid w:val="00B51F53"/>
    <w:rsid w:val="00B52862"/>
    <w:rsid w:val="00B52886"/>
    <w:rsid w:val="00B5357A"/>
    <w:rsid w:val="00B53860"/>
    <w:rsid w:val="00B54477"/>
    <w:rsid w:val="00B54A2A"/>
    <w:rsid w:val="00B54CE5"/>
    <w:rsid w:val="00B55472"/>
    <w:rsid w:val="00B55994"/>
    <w:rsid w:val="00B562DE"/>
    <w:rsid w:val="00B56375"/>
    <w:rsid w:val="00B563BF"/>
    <w:rsid w:val="00B573DC"/>
    <w:rsid w:val="00B5763B"/>
    <w:rsid w:val="00B5798A"/>
    <w:rsid w:val="00B57B6F"/>
    <w:rsid w:val="00B6113C"/>
    <w:rsid w:val="00B61BFE"/>
    <w:rsid w:val="00B62612"/>
    <w:rsid w:val="00B629BE"/>
    <w:rsid w:val="00B637FF"/>
    <w:rsid w:val="00B63F7C"/>
    <w:rsid w:val="00B655EC"/>
    <w:rsid w:val="00B6608C"/>
    <w:rsid w:val="00B66D09"/>
    <w:rsid w:val="00B6769B"/>
    <w:rsid w:val="00B7030A"/>
    <w:rsid w:val="00B703E7"/>
    <w:rsid w:val="00B71346"/>
    <w:rsid w:val="00B72DE9"/>
    <w:rsid w:val="00B73634"/>
    <w:rsid w:val="00B73A18"/>
    <w:rsid w:val="00B75324"/>
    <w:rsid w:val="00B7552B"/>
    <w:rsid w:val="00B75C15"/>
    <w:rsid w:val="00B76313"/>
    <w:rsid w:val="00B77001"/>
    <w:rsid w:val="00B7764A"/>
    <w:rsid w:val="00B77686"/>
    <w:rsid w:val="00B77D08"/>
    <w:rsid w:val="00B77D18"/>
    <w:rsid w:val="00B80A1F"/>
    <w:rsid w:val="00B80CCE"/>
    <w:rsid w:val="00B80E47"/>
    <w:rsid w:val="00B82CDF"/>
    <w:rsid w:val="00B84401"/>
    <w:rsid w:val="00B846F9"/>
    <w:rsid w:val="00B84CB5"/>
    <w:rsid w:val="00B87058"/>
    <w:rsid w:val="00B875A0"/>
    <w:rsid w:val="00B87D82"/>
    <w:rsid w:val="00B9048E"/>
    <w:rsid w:val="00B90A4F"/>
    <w:rsid w:val="00B91485"/>
    <w:rsid w:val="00B914BD"/>
    <w:rsid w:val="00B914ED"/>
    <w:rsid w:val="00B917F4"/>
    <w:rsid w:val="00B91BE3"/>
    <w:rsid w:val="00B91C06"/>
    <w:rsid w:val="00B9222C"/>
    <w:rsid w:val="00B931AB"/>
    <w:rsid w:val="00B93284"/>
    <w:rsid w:val="00B947C3"/>
    <w:rsid w:val="00B948C3"/>
    <w:rsid w:val="00B94D1A"/>
    <w:rsid w:val="00B95665"/>
    <w:rsid w:val="00B956E6"/>
    <w:rsid w:val="00B96D37"/>
    <w:rsid w:val="00B97240"/>
    <w:rsid w:val="00B97A8A"/>
    <w:rsid w:val="00B97C74"/>
    <w:rsid w:val="00BA270E"/>
    <w:rsid w:val="00BA2990"/>
    <w:rsid w:val="00BA35B7"/>
    <w:rsid w:val="00BA3B59"/>
    <w:rsid w:val="00BA3B7F"/>
    <w:rsid w:val="00BA43B5"/>
    <w:rsid w:val="00BA43CF"/>
    <w:rsid w:val="00BA4DE4"/>
    <w:rsid w:val="00BA6001"/>
    <w:rsid w:val="00BA65FF"/>
    <w:rsid w:val="00BA66D1"/>
    <w:rsid w:val="00BA66E9"/>
    <w:rsid w:val="00BA695F"/>
    <w:rsid w:val="00BA69BC"/>
    <w:rsid w:val="00BA6CAC"/>
    <w:rsid w:val="00BA6FFD"/>
    <w:rsid w:val="00BA7FFB"/>
    <w:rsid w:val="00BB0173"/>
    <w:rsid w:val="00BB01A6"/>
    <w:rsid w:val="00BB04F2"/>
    <w:rsid w:val="00BB0BD1"/>
    <w:rsid w:val="00BB0DCB"/>
    <w:rsid w:val="00BB0E00"/>
    <w:rsid w:val="00BB15F3"/>
    <w:rsid w:val="00BB185D"/>
    <w:rsid w:val="00BB18DC"/>
    <w:rsid w:val="00BB1D47"/>
    <w:rsid w:val="00BB3514"/>
    <w:rsid w:val="00BB453F"/>
    <w:rsid w:val="00BB4655"/>
    <w:rsid w:val="00BB49EC"/>
    <w:rsid w:val="00BB5B94"/>
    <w:rsid w:val="00BB6BC0"/>
    <w:rsid w:val="00BB6C50"/>
    <w:rsid w:val="00BB7309"/>
    <w:rsid w:val="00BC061A"/>
    <w:rsid w:val="00BC082A"/>
    <w:rsid w:val="00BC09C8"/>
    <w:rsid w:val="00BC0BB5"/>
    <w:rsid w:val="00BC0E59"/>
    <w:rsid w:val="00BC110C"/>
    <w:rsid w:val="00BC28C0"/>
    <w:rsid w:val="00BC2A6A"/>
    <w:rsid w:val="00BC312C"/>
    <w:rsid w:val="00BC314D"/>
    <w:rsid w:val="00BC4132"/>
    <w:rsid w:val="00BC453F"/>
    <w:rsid w:val="00BC46F5"/>
    <w:rsid w:val="00BC4797"/>
    <w:rsid w:val="00BC553A"/>
    <w:rsid w:val="00BC56F7"/>
    <w:rsid w:val="00BC58FC"/>
    <w:rsid w:val="00BC5ADA"/>
    <w:rsid w:val="00BC5DDA"/>
    <w:rsid w:val="00BC63BC"/>
    <w:rsid w:val="00BC6A36"/>
    <w:rsid w:val="00BC6D4B"/>
    <w:rsid w:val="00BC7D6E"/>
    <w:rsid w:val="00BD052D"/>
    <w:rsid w:val="00BD0EFA"/>
    <w:rsid w:val="00BD10BD"/>
    <w:rsid w:val="00BD14DC"/>
    <w:rsid w:val="00BD176F"/>
    <w:rsid w:val="00BD1B63"/>
    <w:rsid w:val="00BD1E89"/>
    <w:rsid w:val="00BD2D00"/>
    <w:rsid w:val="00BD358A"/>
    <w:rsid w:val="00BD3EA2"/>
    <w:rsid w:val="00BD4600"/>
    <w:rsid w:val="00BD4DF4"/>
    <w:rsid w:val="00BD5062"/>
    <w:rsid w:val="00BD5605"/>
    <w:rsid w:val="00BD57DB"/>
    <w:rsid w:val="00BD6715"/>
    <w:rsid w:val="00BD6C17"/>
    <w:rsid w:val="00BD76E6"/>
    <w:rsid w:val="00BE00BD"/>
    <w:rsid w:val="00BE0D1A"/>
    <w:rsid w:val="00BE10DB"/>
    <w:rsid w:val="00BE12CC"/>
    <w:rsid w:val="00BE1D82"/>
    <w:rsid w:val="00BE2B0B"/>
    <w:rsid w:val="00BE3316"/>
    <w:rsid w:val="00BE3596"/>
    <w:rsid w:val="00BE3769"/>
    <w:rsid w:val="00BE3FE4"/>
    <w:rsid w:val="00BE5B04"/>
    <w:rsid w:val="00BE5C80"/>
    <w:rsid w:val="00BE6433"/>
    <w:rsid w:val="00BE6575"/>
    <w:rsid w:val="00BE6BE7"/>
    <w:rsid w:val="00BE716A"/>
    <w:rsid w:val="00BE7AF5"/>
    <w:rsid w:val="00BF042E"/>
    <w:rsid w:val="00BF0455"/>
    <w:rsid w:val="00BF0E71"/>
    <w:rsid w:val="00BF1E76"/>
    <w:rsid w:val="00BF2051"/>
    <w:rsid w:val="00BF2167"/>
    <w:rsid w:val="00BF2884"/>
    <w:rsid w:val="00BF292B"/>
    <w:rsid w:val="00BF2EFC"/>
    <w:rsid w:val="00BF3AB8"/>
    <w:rsid w:val="00BF3B2C"/>
    <w:rsid w:val="00BF44C8"/>
    <w:rsid w:val="00BF4C21"/>
    <w:rsid w:val="00BF57F3"/>
    <w:rsid w:val="00BF61E6"/>
    <w:rsid w:val="00BF62DA"/>
    <w:rsid w:val="00BF6CC5"/>
    <w:rsid w:val="00BF71E1"/>
    <w:rsid w:val="00BF7243"/>
    <w:rsid w:val="00BF779B"/>
    <w:rsid w:val="00BF78EA"/>
    <w:rsid w:val="00C00B7C"/>
    <w:rsid w:val="00C018E3"/>
    <w:rsid w:val="00C02D74"/>
    <w:rsid w:val="00C03365"/>
    <w:rsid w:val="00C036F6"/>
    <w:rsid w:val="00C03E03"/>
    <w:rsid w:val="00C04388"/>
    <w:rsid w:val="00C0529E"/>
    <w:rsid w:val="00C055C1"/>
    <w:rsid w:val="00C0596A"/>
    <w:rsid w:val="00C0741F"/>
    <w:rsid w:val="00C0763F"/>
    <w:rsid w:val="00C07C11"/>
    <w:rsid w:val="00C1135A"/>
    <w:rsid w:val="00C11CC4"/>
    <w:rsid w:val="00C1331F"/>
    <w:rsid w:val="00C13A3F"/>
    <w:rsid w:val="00C147BA"/>
    <w:rsid w:val="00C15DE3"/>
    <w:rsid w:val="00C16A97"/>
    <w:rsid w:val="00C17109"/>
    <w:rsid w:val="00C1774C"/>
    <w:rsid w:val="00C1796E"/>
    <w:rsid w:val="00C204A8"/>
    <w:rsid w:val="00C2050D"/>
    <w:rsid w:val="00C20CD1"/>
    <w:rsid w:val="00C21706"/>
    <w:rsid w:val="00C21D98"/>
    <w:rsid w:val="00C22422"/>
    <w:rsid w:val="00C2244E"/>
    <w:rsid w:val="00C229E6"/>
    <w:rsid w:val="00C24976"/>
    <w:rsid w:val="00C2526E"/>
    <w:rsid w:val="00C30148"/>
    <w:rsid w:val="00C30C9A"/>
    <w:rsid w:val="00C30E3D"/>
    <w:rsid w:val="00C30ECD"/>
    <w:rsid w:val="00C31F95"/>
    <w:rsid w:val="00C3258B"/>
    <w:rsid w:val="00C325A6"/>
    <w:rsid w:val="00C336E6"/>
    <w:rsid w:val="00C33A14"/>
    <w:rsid w:val="00C33CAB"/>
    <w:rsid w:val="00C33F29"/>
    <w:rsid w:val="00C3404B"/>
    <w:rsid w:val="00C342D7"/>
    <w:rsid w:val="00C349F6"/>
    <w:rsid w:val="00C352F2"/>
    <w:rsid w:val="00C35873"/>
    <w:rsid w:val="00C35AA0"/>
    <w:rsid w:val="00C3676C"/>
    <w:rsid w:val="00C37201"/>
    <w:rsid w:val="00C379A2"/>
    <w:rsid w:val="00C40B96"/>
    <w:rsid w:val="00C40C4F"/>
    <w:rsid w:val="00C412DA"/>
    <w:rsid w:val="00C41848"/>
    <w:rsid w:val="00C41DED"/>
    <w:rsid w:val="00C41F23"/>
    <w:rsid w:val="00C42068"/>
    <w:rsid w:val="00C4235B"/>
    <w:rsid w:val="00C427D3"/>
    <w:rsid w:val="00C43C4F"/>
    <w:rsid w:val="00C440A9"/>
    <w:rsid w:val="00C443A0"/>
    <w:rsid w:val="00C44D8E"/>
    <w:rsid w:val="00C44EF3"/>
    <w:rsid w:val="00C4533D"/>
    <w:rsid w:val="00C45694"/>
    <w:rsid w:val="00C47578"/>
    <w:rsid w:val="00C51BD9"/>
    <w:rsid w:val="00C52DD3"/>
    <w:rsid w:val="00C53542"/>
    <w:rsid w:val="00C545EB"/>
    <w:rsid w:val="00C547AF"/>
    <w:rsid w:val="00C54B7C"/>
    <w:rsid w:val="00C55669"/>
    <w:rsid w:val="00C56D75"/>
    <w:rsid w:val="00C56FDE"/>
    <w:rsid w:val="00C578CA"/>
    <w:rsid w:val="00C57D18"/>
    <w:rsid w:val="00C60567"/>
    <w:rsid w:val="00C609BC"/>
    <w:rsid w:val="00C60D4A"/>
    <w:rsid w:val="00C61AB0"/>
    <w:rsid w:val="00C62799"/>
    <w:rsid w:val="00C641D8"/>
    <w:rsid w:val="00C6429B"/>
    <w:rsid w:val="00C645A9"/>
    <w:rsid w:val="00C651D0"/>
    <w:rsid w:val="00C65C28"/>
    <w:rsid w:val="00C66A8C"/>
    <w:rsid w:val="00C6719B"/>
    <w:rsid w:val="00C67F72"/>
    <w:rsid w:val="00C67F79"/>
    <w:rsid w:val="00C70B17"/>
    <w:rsid w:val="00C70C30"/>
    <w:rsid w:val="00C71A5C"/>
    <w:rsid w:val="00C726DB"/>
    <w:rsid w:val="00C727F6"/>
    <w:rsid w:val="00C729DC"/>
    <w:rsid w:val="00C72CF0"/>
    <w:rsid w:val="00C72E86"/>
    <w:rsid w:val="00C73264"/>
    <w:rsid w:val="00C73B2F"/>
    <w:rsid w:val="00C73E9F"/>
    <w:rsid w:val="00C74DED"/>
    <w:rsid w:val="00C75CB9"/>
    <w:rsid w:val="00C7645E"/>
    <w:rsid w:val="00C76A85"/>
    <w:rsid w:val="00C8017C"/>
    <w:rsid w:val="00C801A4"/>
    <w:rsid w:val="00C80752"/>
    <w:rsid w:val="00C80A3F"/>
    <w:rsid w:val="00C80BA1"/>
    <w:rsid w:val="00C83466"/>
    <w:rsid w:val="00C83738"/>
    <w:rsid w:val="00C8374E"/>
    <w:rsid w:val="00C8413E"/>
    <w:rsid w:val="00C852EA"/>
    <w:rsid w:val="00C85B93"/>
    <w:rsid w:val="00C86088"/>
    <w:rsid w:val="00C86223"/>
    <w:rsid w:val="00C86AAD"/>
    <w:rsid w:val="00C86FCC"/>
    <w:rsid w:val="00C90B3C"/>
    <w:rsid w:val="00C90E9D"/>
    <w:rsid w:val="00C929FA"/>
    <w:rsid w:val="00C9307F"/>
    <w:rsid w:val="00C9327D"/>
    <w:rsid w:val="00C932F6"/>
    <w:rsid w:val="00C93D6E"/>
    <w:rsid w:val="00C94177"/>
    <w:rsid w:val="00C953D0"/>
    <w:rsid w:val="00C95B3E"/>
    <w:rsid w:val="00C95C0F"/>
    <w:rsid w:val="00C964DB"/>
    <w:rsid w:val="00C967B3"/>
    <w:rsid w:val="00C96B97"/>
    <w:rsid w:val="00C976C7"/>
    <w:rsid w:val="00CA027F"/>
    <w:rsid w:val="00CA0955"/>
    <w:rsid w:val="00CA1B85"/>
    <w:rsid w:val="00CA1BC9"/>
    <w:rsid w:val="00CA2EFC"/>
    <w:rsid w:val="00CA3052"/>
    <w:rsid w:val="00CA3C64"/>
    <w:rsid w:val="00CA3C83"/>
    <w:rsid w:val="00CA475C"/>
    <w:rsid w:val="00CA48DF"/>
    <w:rsid w:val="00CA49CC"/>
    <w:rsid w:val="00CA4CB2"/>
    <w:rsid w:val="00CA4D42"/>
    <w:rsid w:val="00CA5058"/>
    <w:rsid w:val="00CA528E"/>
    <w:rsid w:val="00CA5D13"/>
    <w:rsid w:val="00CA699E"/>
    <w:rsid w:val="00CA6E74"/>
    <w:rsid w:val="00CA71FB"/>
    <w:rsid w:val="00CA7B06"/>
    <w:rsid w:val="00CA7F05"/>
    <w:rsid w:val="00CB0527"/>
    <w:rsid w:val="00CB0542"/>
    <w:rsid w:val="00CB07ED"/>
    <w:rsid w:val="00CB0B52"/>
    <w:rsid w:val="00CB0CDA"/>
    <w:rsid w:val="00CB0D1B"/>
    <w:rsid w:val="00CB0D84"/>
    <w:rsid w:val="00CB10A2"/>
    <w:rsid w:val="00CB11B7"/>
    <w:rsid w:val="00CB2181"/>
    <w:rsid w:val="00CB2203"/>
    <w:rsid w:val="00CB248A"/>
    <w:rsid w:val="00CB3190"/>
    <w:rsid w:val="00CB3BFA"/>
    <w:rsid w:val="00CB4581"/>
    <w:rsid w:val="00CB4590"/>
    <w:rsid w:val="00CB48F0"/>
    <w:rsid w:val="00CB4E68"/>
    <w:rsid w:val="00CB629D"/>
    <w:rsid w:val="00CB77A4"/>
    <w:rsid w:val="00CC096A"/>
    <w:rsid w:val="00CC0B65"/>
    <w:rsid w:val="00CC1A6F"/>
    <w:rsid w:val="00CC2A60"/>
    <w:rsid w:val="00CC2D1B"/>
    <w:rsid w:val="00CC3403"/>
    <w:rsid w:val="00CC3D36"/>
    <w:rsid w:val="00CC3E7A"/>
    <w:rsid w:val="00CC4571"/>
    <w:rsid w:val="00CC515D"/>
    <w:rsid w:val="00CC5EE1"/>
    <w:rsid w:val="00CC60EA"/>
    <w:rsid w:val="00CC684C"/>
    <w:rsid w:val="00CC6DBF"/>
    <w:rsid w:val="00CC7D62"/>
    <w:rsid w:val="00CC7F04"/>
    <w:rsid w:val="00CC7F96"/>
    <w:rsid w:val="00CD0087"/>
    <w:rsid w:val="00CD0379"/>
    <w:rsid w:val="00CD07FC"/>
    <w:rsid w:val="00CD15D1"/>
    <w:rsid w:val="00CD1BBD"/>
    <w:rsid w:val="00CD3EAE"/>
    <w:rsid w:val="00CD4A90"/>
    <w:rsid w:val="00CD5187"/>
    <w:rsid w:val="00CD5B13"/>
    <w:rsid w:val="00CD5E5F"/>
    <w:rsid w:val="00CD60C1"/>
    <w:rsid w:val="00CD68D0"/>
    <w:rsid w:val="00CD6D7A"/>
    <w:rsid w:val="00CD7467"/>
    <w:rsid w:val="00CD74BE"/>
    <w:rsid w:val="00CE0259"/>
    <w:rsid w:val="00CE18A7"/>
    <w:rsid w:val="00CE1D06"/>
    <w:rsid w:val="00CE24B6"/>
    <w:rsid w:val="00CE2CBC"/>
    <w:rsid w:val="00CE34E6"/>
    <w:rsid w:val="00CE3D9A"/>
    <w:rsid w:val="00CE4619"/>
    <w:rsid w:val="00CE4BF2"/>
    <w:rsid w:val="00CE5682"/>
    <w:rsid w:val="00CE573F"/>
    <w:rsid w:val="00CE6874"/>
    <w:rsid w:val="00CE79AC"/>
    <w:rsid w:val="00CE7AE1"/>
    <w:rsid w:val="00CE7B77"/>
    <w:rsid w:val="00CF064A"/>
    <w:rsid w:val="00CF1FAF"/>
    <w:rsid w:val="00CF231A"/>
    <w:rsid w:val="00CF28CD"/>
    <w:rsid w:val="00CF2D00"/>
    <w:rsid w:val="00CF354E"/>
    <w:rsid w:val="00CF49B6"/>
    <w:rsid w:val="00CF5B4B"/>
    <w:rsid w:val="00CF6619"/>
    <w:rsid w:val="00D01AC1"/>
    <w:rsid w:val="00D02065"/>
    <w:rsid w:val="00D023BA"/>
    <w:rsid w:val="00D02E9B"/>
    <w:rsid w:val="00D0379E"/>
    <w:rsid w:val="00D037DC"/>
    <w:rsid w:val="00D03F9C"/>
    <w:rsid w:val="00D0409C"/>
    <w:rsid w:val="00D04184"/>
    <w:rsid w:val="00D04B21"/>
    <w:rsid w:val="00D064EF"/>
    <w:rsid w:val="00D06DAC"/>
    <w:rsid w:val="00D06DC8"/>
    <w:rsid w:val="00D072E0"/>
    <w:rsid w:val="00D10C7C"/>
    <w:rsid w:val="00D1161A"/>
    <w:rsid w:val="00D11790"/>
    <w:rsid w:val="00D1337D"/>
    <w:rsid w:val="00D138D0"/>
    <w:rsid w:val="00D13A58"/>
    <w:rsid w:val="00D13A73"/>
    <w:rsid w:val="00D13C13"/>
    <w:rsid w:val="00D13F2C"/>
    <w:rsid w:val="00D14065"/>
    <w:rsid w:val="00D14FEC"/>
    <w:rsid w:val="00D162F9"/>
    <w:rsid w:val="00D163B6"/>
    <w:rsid w:val="00D16ADC"/>
    <w:rsid w:val="00D16F71"/>
    <w:rsid w:val="00D17872"/>
    <w:rsid w:val="00D17ED8"/>
    <w:rsid w:val="00D20338"/>
    <w:rsid w:val="00D20D37"/>
    <w:rsid w:val="00D211B3"/>
    <w:rsid w:val="00D21973"/>
    <w:rsid w:val="00D21AA8"/>
    <w:rsid w:val="00D21C1F"/>
    <w:rsid w:val="00D22DA0"/>
    <w:rsid w:val="00D23259"/>
    <w:rsid w:val="00D241EA"/>
    <w:rsid w:val="00D24358"/>
    <w:rsid w:val="00D24B2C"/>
    <w:rsid w:val="00D25109"/>
    <w:rsid w:val="00D25C01"/>
    <w:rsid w:val="00D25CB0"/>
    <w:rsid w:val="00D25D79"/>
    <w:rsid w:val="00D2672F"/>
    <w:rsid w:val="00D27111"/>
    <w:rsid w:val="00D272CD"/>
    <w:rsid w:val="00D27AE5"/>
    <w:rsid w:val="00D30004"/>
    <w:rsid w:val="00D313A9"/>
    <w:rsid w:val="00D31BC3"/>
    <w:rsid w:val="00D31D23"/>
    <w:rsid w:val="00D32A67"/>
    <w:rsid w:val="00D32B5F"/>
    <w:rsid w:val="00D330CA"/>
    <w:rsid w:val="00D3336F"/>
    <w:rsid w:val="00D33531"/>
    <w:rsid w:val="00D33EA8"/>
    <w:rsid w:val="00D33F13"/>
    <w:rsid w:val="00D34CB1"/>
    <w:rsid w:val="00D34D6D"/>
    <w:rsid w:val="00D35DDB"/>
    <w:rsid w:val="00D35E17"/>
    <w:rsid w:val="00D4040B"/>
    <w:rsid w:val="00D413F2"/>
    <w:rsid w:val="00D445E1"/>
    <w:rsid w:val="00D44744"/>
    <w:rsid w:val="00D4500E"/>
    <w:rsid w:val="00D455C6"/>
    <w:rsid w:val="00D45C46"/>
    <w:rsid w:val="00D460C6"/>
    <w:rsid w:val="00D46151"/>
    <w:rsid w:val="00D471B6"/>
    <w:rsid w:val="00D4780D"/>
    <w:rsid w:val="00D47C48"/>
    <w:rsid w:val="00D47E99"/>
    <w:rsid w:val="00D47EC3"/>
    <w:rsid w:val="00D5003E"/>
    <w:rsid w:val="00D5023E"/>
    <w:rsid w:val="00D51A16"/>
    <w:rsid w:val="00D5283D"/>
    <w:rsid w:val="00D52A63"/>
    <w:rsid w:val="00D541B8"/>
    <w:rsid w:val="00D54591"/>
    <w:rsid w:val="00D545E6"/>
    <w:rsid w:val="00D54660"/>
    <w:rsid w:val="00D55773"/>
    <w:rsid w:val="00D564C6"/>
    <w:rsid w:val="00D57C93"/>
    <w:rsid w:val="00D6047D"/>
    <w:rsid w:val="00D60B32"/>
    <w:rsid w:val="00D615D2"/>
    <w:rsid w:val="00D617D5"/>
    <w:rsid w:val="00D62B3A"/>
    <w:rsid w:val="00D637B4"/>
    <w:rsid w:val="00D637EF"/>
    <w:rsid w:val="00D649E6"/>
    <w:rsid w:val="00D65BEE"/>
    <w:rsid w:val="00D65CA8"/>
    <w:rsid w:val="00D667D2"/>
    <w:rsid w:val="00D66E50"/>
    <w:rsid w:val="00D67953"/>
    <w:rsid w:val="00D70797"/>
    <w:rsid w:val="00D70A08"/>
    <w:rsid w:val="00D70D3B"/>
    <w:rsid w:val="00D70DEE"/>
    <w:rsid w:val="00D70EF4"/>
    <w:rsid w:val="00D7144B"/>
    <w:rsid w:val="00D7175B"/>
    <w:rsid w:val="00D71B6B"/>
    <w:rsid w:val="00D71DC9"/>
    <w:rsid w:val="00D72080"/>
    <w:rsid w:val="00D72742"/>
    <w:rsid w:val="00D727F0"/>
    <w:rsid w:val="00D72818"/>
    <w:rsid w:val="00D7293F"/>
    <w:rsid w:val="00D72993"/>
    <w:rsid w:val="00D72AB0"/>
    <w:rsid w:val="00D72BAB"/>
    <w:rsid w:val="00D73472"/>
    <w:rsid w:val="00D735B0"/>
    <w:rsid w:val="00D744B8"/>
    <w:rsid w:val="00D74895"/>
    <w:rsid w:val="00D754B5"/>
    <w:rsid w:val="00D7551F"/>
    <w:rsid w:val="00D75535"/>
    <w:rsid w:val="00D75752"/>
    <w:rsid w:val="00D7598B"/>
    <w:rsid w:val="00D7615B"/>
    <w:rsid w:val="00D76DB0"/>
    <w:rsid w:val="00D77246"/>
    <w:rsid w:val="00D77B5D"/>
    <w:rsid w:val="00D77D76"/>
    <w:rsid w:val="00D8196A"/>
    <w:rsid w:val="00D81CA0"/>
    <w:rsid w:val="00D8297C"/>
    <w:rsid w:val="00D83EFC"/>
    <w:rsid w:val="00D84269"/>
    <w:rsid w:val="00D843B0"/>
    <w:rsid w:val="00D843CB"/>
    <w:rsid w:val="00D847BB"/>
    <w:rsid w:val="00D8488E"/>
    <w:rsid w:val="00D849E5"/>
    <w:rsid w:val="00D84DA2"/>
    <w:rsid w:val="00D84F58"/>
    <w:rsid w:val="00D854F2"/>
    <w:rsid w:val="00D8555E"/>
    <w:rsid w:val="00D85AD1"/>
    <w:rsid w:val="00D85BAC"/>
    <w:rsid w:val="00D85D3E"/>
    <w:rsid w:val="00D86554"/>
    <w:rsid w:val="00D867B2"/>
    <w:rsid w:val="00D909D0"/>
    <w:rsid w:val="00D90A48"/>
    <w:rsid w:val="00D90C29"/>
    <w:rsid w:val="00D91BB1"/>
    <w:rsid w:val="00D9264F"/>
    <w:rsid w:val="00D93436"/>
    <w:rsid w:val="00D9351E"/>
    <w:rsid w:val="00D93973"/>
    <w:rsid w:val="00D940D2"/>
    <w:rsid w:val="00D94552"/>
    <w:rsid w:val="00D945C2"/>
    <w:rsid w:val="00D946D6"/>
    <w:rsid w:val="00D94FD3"/>
    <w:rsid w:val="00D95BAB"/>
    <w:rsid w:val="00D95FC3"/>
    <w:rsid w:val="00D972E7"/>
    <w:rsid w:val="00D9775C"/>
    <w:rsid w:val="00DA0753"/>
    <w:rsid w:val="00DA0A3B"/>
    <w:rsid w:val="00DA0C6E"/>
    <w:rsid w:val="00DA1869"/>
    <w:rsid w:val="00DA186E"/>
    <w:rsid w:val="00DA1952"/>
    <w:rsid w:val="00DA1D61"/>
    <w:rsid w:val="00DA26C6"/>
    <w:rsid w:val="00DA2742"/>
    <w:rsid w:val="00DA28A8"/>
    <w:rsid w:val="00DA2DD2"/>
    <w:rsid w:val="00DA2E42"/>
    <w:rsid w:val="00DA4131"/>
    <w:rsid w:val="00DA42F7"/>
    <w:rsid w:val="00DA48EE"/>
    <w:rsid w:val="00DA5AB1"/>
    <w:rsid w:val="00DA5E47"/>
    <w:rsid w:val="00DA70D6"/>
    <w:rsid w:val="00DA741C"/>
    <w:rsid w:val="00DA7800"/>
    <w:rsid w:val="00DA7A13"/>
    <w:rsid w:val="00DA7AC9"/>
    <w:rsid w:val="00DB023E"/>
    <w:rsid w:val="00DB1622"/>
    <w:rsid w:val="00DB1CDA"/>
    <w:rsid w:val="00DB1E0A"/>
    <w:rsid w:val="00DB2688"/>
    <w:rsid w:val="00DB4719"/>
    <w:rsid w:val="00DB4D5A"/>
    <w:rsid w:val="00DB4E72"/>
    <w:rsid w:val="00DB6003"/>
    <w:rsid w:val="00DB665A"/>
    <w:rsid w:val="00DB6C98"/>
    <w:rsid w:val="00DB7754"/>
    <w:rsid w:val="00DB7905"/>
    <w:rsid w:val="00DB7B9F"/>
    <w:rsid w:val="00DB7D37"/>
    <w:rsid w:val="00DC083E"/>
    <w:rsid w:val="00DC1928"/>
    <w:rsid w:val="00DC25AD"/>
    <w:rsid w:val="00DC3092"/>
    <w:rsid w:val="00DC35A9"/>
    <w:rsid w:val="00DC39A7"/>
    <w:rsid w:val="00DC3C66"/>
    <w:rsid w:val="00DC4506"/>
    <w:rsid w:val="00DC4DC9"/>
    <w:rsid w:val="00DC5407"/>
    <w:rsid w:val="00DC57A9"/>
    <w:rsid w:val="00DC688E"/>
    <w:rsid w:val="00DC6DA0"/>
    <w:rsid w:val="00DC7499"/>
    <w:rsid w:val="00DC755C"/>
    <w:rsid w:val="00DC7878"/>
    <w:rsid w:val="00DD0473"/>
    <w:rsid w:val="00DD111E"/>
    <w:rsid w:val="00DD194F"/>
    <w:rsid w:val="00DD1F00"/>
    <w:rsid w:val="00DD2905"/>
    <w:rsid w:val="00DD2E69"/>
    <w:rsid w:val="00DD3271"/>
    <w:rsid w:val="00DD3501"/>
    <w:rsid w:val="00DD3652"/>
    <w:rsid w:val="00DD3B35"/>
    <w:rsid w:val="00DD3FB3"/>
    <w:rsid w:val="00DD4035"/>
    <w:rsid w:val="00DD4A17"/>
    <w:rsid w:val="00DD4FA5"/>
    <w:rsid w:val="00DD5194"/>
    <w:rsid w:val="00DD58F1"/>
    <w:rsid w:val="00DD592E"/>
    <w:rsid w:val="00DD69E6"/>
    <w:rsid w:val="00DD6AAC"/>
    <w:rsid w:val="00DD752D"/>
    <w:rsid w:val="00DD7E23"/>
    <w:rsid w:val="00DD7F31"/>
    <w:rsid w:val="00DE0EA7"/>
    <w:rsid w:val="00DE1280"/>
    <w:rsid w:val="00DE31FA"/>
    <w:rsid w:val="00DE3965"/>
    <w:rsid w:val="00DE423F"/>
    <w:rsid w:val="00DE427D"/>
    <w:rsid w:val="00DE4ED5"/>
    <w:rsid w:val="00DE4F68"/>
    <w:rsid w:val="00DE5495"/>
    <w:rsid w:val="00DE56DE"/>
    <w:rsid w:val="00DE7844"/>
    <w:rsid w:val="00DE7949"/>
    <w:rsid w:val="00DE7B20"/>
    <w:rsid w:val="00DF0DC7"/>
    <w:rsid w:val="00DF23B3"/>
    <w:rsid w:val="00DF2823"/>
    <w:rsid w:val="00DF40FA"/>
    <w:rsid w:val="00DF5388"/>
    <w:rsid w:val="00DF6164"/>
    <w:rsid w:val="00DF6381"/>
    <w:rsid w:val="00DF65AD"/>
    <w:rsid w:val="00DF6E3A"/>
    <w:rsid w:val="00DF7C62"/>
    <w:rsid w:val="00DF7CA7"/>
    <w:rsid w:val="00E00533"/>
    <w:rsid w:val="00E00789"/>
    <w:rsid w:val="00E00792"/>
    <w:rsid w:val="00E00B88"/>
    <w:rsid w:val="00E01690"/>
    <w:rsid w:val="00E02423"/>
    <w:rsid w:val="00E02466"/>
    <w:rsid w:val="00E0255E"/>
    <w:rsid w:val="00E02C2D"/>
    <w:rsid w:val="00E042E6"/>
    <w:rsid w:val="00E04676"/>
    <w:rsid w:val="00E06C8C"/>
    <w:rsid w:val="00E072DA"/>
    <w:rsid w:val="00E104AD"/>
    <w:rsid w:val="00E106AB"/>
    <w:rsid w:val="00E10C29"/>
    <w:rsid w:val="00E10CAF"/>
    <w:rsid w:val="00E10F70"/>
    <w:rsid w:val="00E1164F"/>
    <w:rsid w:val="00E11E2C"/>
    <w:rsid w:val="00E123B6"/>
    <w:rsid w:val="00E13EE6"/>
    <w:rsid w:val="00E14F44"/>
    <w:rsid w:val="00E15063"/>
    <w:rsid w:val="00E15694"/>
    <w:rsid w:val="00E1574F"/>
    <w:rsid w:val="00E168D4"/>
    <w:rsid w:val="00E16B08"/>
    <w:rsid w:val="00E16B8F"/>
    <w:rsid w:val="00E17A9F"/>
    <w:rsid w:val="00E2094E"/>
    <w:rsid w:val="00E21153"/>
    <w:rsid w:val="00E21C41"/>
    <w:rsid w:val="00E21CCB"/>
    <w:rsid w:val="00E21DF3"/>
    <w:rsid w:val="00E23905"/>
    <w:rsid w:val="00E23E9C"/>
    <w:rsid w:val="00E24FB8"/>
    <w:rsid w:val="00E252F0"/>
    <w:rsid w:val="00E25E81"/>
    <w:rsid w:val="00E2701C"/>
    <w:rsid w:val="00E279D7"/>
    <w:rsid w:val="00E30798"/>
    <w:rsid w:val="00E30BAF"/>
    <w:rsid w:val="00E30D29"/>
    <w:rsid w:val="00E312DC"/>
    <w:rsid w:val="00E312DD"/>
    <w:rsid w:val="00E32283"/>
    <w:rsid w:val="00E3270F"/>
    <w:rsid w:val="00E32972"/>
    <w:rsid w:val="00E33376"/>
    <w:rsid w:val="00E334D8"/>
    <w:rsid w:val="00E34AE5"/>
    <w:rsid w:val="00E35EC4"/>
    <w:rsid w:val="00E403E9"/>
    <w:rsid w:val="00E40524"/>
    <w:rsid w:val="00E418F9"/>
    <w:rsid w:val="00E41924"/>
    <w:rsid w:val="00E4195E"/>
    <w:rsid w:val="00E4196F"/>
    <w:rsid w:val="00E422B0"/>
    <w:rsid w:val="00E42BE0"/>
    <w:rsid w:val="00E435AC"/>
    <w:rsid w:val="00E437C9"/>
    <w:rsid w:val="00E43A07"/>
    <w:rsid w:val="00E452C4"/>
    <w:rsid w:val="00E4547B"/>
    <w:rsid w:val="00E4548E"/>
    <w:rsid w:val="00E45D6A"/>
    <w:rsid w:val="00E46AAB"/>
    <w:rsid w:val="00E470A7"/>
    <w:rsid w:val="00E470C7"/>
    <w:rsid w:val="00E4714D"/>
    <w:rsid w:val="00E473AB"/>
    <w:rsid w:val="00E500AF"/>
    <w:rsid w:val="00E500B6"/>
    <w:rsid w:val="00E50219"/>
    <w:rsid w:val="00E504E4"/>
    <w:rsid w:val="00E5149B"/>
    <w:rsid w:val="00E51C6B"/>
    <w:rsid w:val="00E51F11"/>
    <w:rsid w:val="00E52F5B"/>
    <w:rsid w:val="00E532CB"/>
    <w:rsid w:val="00E53417"/>
    <w:rsid w:val="00E539C9"/>
    <w:rsid w:val="00E53DB2"/>
    <w:rsid w:val="00E53DB3"/>
    <w:rsid w:val="00E5435B"/>
    <w:rsid w:val="00E54480"/>
    <w:rsid w:val="00E547CA"/>
    <w:rsid w:val="00E548EA"/>
    <w:rsid w:val="00E55723"/>
    <w:rsid w:val="00E605FF"/>
    <w:rsid w:val="00E621EC"/>
    <w:rsid w:val="00E624A1"/>
    <w:rsid w:val="00E62C85"/>
    <w:rsid w:val="00E640BE"/>
    <w:rsid w:val="00E643C3"/>
    <w:rsid w:val="00E64A79"/>
    <w:rsid w:val="00E652B0"/>
    <w:rsid w:val="00E65B7F"/>
    <w:rsid w:val="00E6749A"/>
    <w:rsid w:val="00E674CB"/>
    <w:rsid w:val="00E70D1C"/>
    <w:rsid w:val="00E70E55"/>
    <w:rsid w:val="00E71F49"/>
    <w:rsid w:val="00E72072"/>
    <w:rsid w:val="00E72B72"/>
    <w:rsid w:val="00E72C5C"/>
    <w:rsid w:val="00E73E1F"/>
    <w:rsid w:val="00E73F85"/>
    <w:rsid w:val="00E741AE"/>
    <w:rsid w:val="00E74226"/>
    <w:rsid w:val="00E742E8"/>
    <w:rsid w:val="00E74656"/>
    <w:rsid w:val="00E747C5"/>
    <w:rsid w:val="00E756C8"/>
    <w:rsid w:val="00E77DCC"/>
    <w:rsid w:val="00E80453"/>
    <w:rsid w:val="00E804C2"/>
    <w:rsid w:val="00E82AFD"/>
    <w:rsid w:val="00E82C19"/>
    <w:rsid w:val="00E831D0"/>
    <w:rsid w:val="00E83C00"/>
    <w:rsid w:val="00E8438C"/>
    <w:rsid w:val="00E85226"/>
    <w:rsid w:val="00E857FB"/>
    <w:rsid w:val="00E85ABB"/>
    <w:rsid w:val="00E864C7"/>
    <w:rsid w:val="00E868C0"/>
    <w:rsid w:val="00E8705B"/>
    <w:rsid w:val="00E87089"/>
    <w:rsid w:val="00E902B0"/>
    <w:rsid w:val="00E9087E"/>
    <w:rsid w:val="00E90AD2"/>
    <w:rsid w:val="00E912E5"/>
    <w:rsid w:val="00E9279C"/>
    <w:rsid w:val="00E93F8A"/>
    <w:rsid w:val="00E9437C"/>
    <w:rsid w:val="00E944E8"/>
    <w:rsid w:val="00E9501E"/>
    <w:rsid w:val="00E95363"/>
    <w:rsid w:val="00E961BB"/>
    <w:rsid w:val="00E9658A"/>
    <w:rsid w:val="00E96904"/>
    <w:rsid w:val="00E97593"/>
    <w:rsid w:val="00E97618"/>
    <w:rsid w:val="00E97F9D"/>
    <w:rsid w:val="00E97FC2"/>
    <w:rsid w:val="00EA046F"/>
    <w:rsid w:val="00EA06CC"/>
    <w:rsid w:val="00EA0B9F"/>
    <w:rsid w:val="00EA14EE"/>
    <w:rsid w:val="00EA26F3"/>
    <w:rsid w:val="00EA2CF4"/>
    <w:rsid w:val="00EA35FE"/>
    <w:rsid w:val="00EA4196"/>
    <w:rsid w:val="00EA4A83"/>
    <w:rsid w:val="00EA52EE"/>
    <w:rsid w:val="00EA5955"/>
    <w:rsid w:val="00EA5DBF"/>
    <w:rsid w:val="00EA5E92"/>
    <w:rsid w:val="00EA5EC7"/>
    <w:rsid w:val="00EA6C6C"/>
    <w:rsid w:val="00EA74E5"/>
    <w:rsid w:val="00EB04B0"/>
    <w:rsid w:val="00EB149F"/>
    <w:rsid w:val="00EB159A"/>
    <w:rsid w:val="00EB1E10"/>
    <w:rsid w:val="00EB23EA"/>
    <w:rsid w:val="00EB3192"/>
    <w:rsid w:val="00EB3325"/>
    <w:rsid w:val="00EB5165"/>
    <w:rsid w:val="00EB5633"/>
    <w:rsid w:val="00EB5F3D"/>
    <w:rsid w:val="00EB60EB"/>
    <w:rsid w:val="00EB6451"/>
    <w:rsid w:val="00EB6637"/>
    <w:rsid w:val="00EB69AB"/>
    <w:rsid w:val="00EB72A0"/>
    <w:rsid w:val="00EB7933"/>
    <w:rsid w:val="00EC0CF8"/>
    <w:rsid w:val="00EC1074"/>
    <w:rsid w:val="00EC13F9"/>
    <w:rsid w:val="00EC17B6"/>
    <w:rsid w:val="00EC22D9"/>
    <w:rsid w:val="00EC2C22"/>
    <w:rsid w:val="00EC36F8"/>
    <w:rsid w:val="00EC4323"/>
    <w:rsid w:val="00EC4BE3"/>
    <w:rsid w:val="00EC5431"/>
    <w:rsid w:val="00EC63E7"/>
    <w:rsid w:val="00EC6D38"/>
    <w:rsid w:val="00EC6EBF"/>
    <w:rsid w:val="00EC705D"/>
    <w:rsid w:val="00EC7757"/>
    <w:rsid w:val="00EC7DE9"/>
    <w:rsid w:val="00ED0299"/>
    <w:rsid w:val="00ED046C"/>
    <w:rsid w:val="00ED06FB"/>
    <w:rsid w:val="00ED0C59"/>
    <w:rsid w:val="00ED0DF8"/>
    <w:rsid w:val="00ED0F9E"/>
    <w:rsid w:val="00ED2E37"/>
    <w:rsid w:val="00ED32F1"/>
    <w:rsid w:val="00ED395D"/>
    <w:rsid w:val="00ED398C"/>
    <w:rsid w:val="00ED39D7"/>
    <w:rsid w:val="00ED53F4"/>
    <w:rsid w:val="00ED556D"/>
    <w:rsid w:val="00ED5EAB"/>
    <w:rsid w:val="00ED7A75"/>
    <w:rsid w:val="00ED7C79"/>
    <w:rsid w:val="00EE16BB"/>
    <w:rsid w:val="00EE1F5D"/>
    <w:rsid w:val="00EE35C6"/>
    <w:rsid w:val="00EE3AF9"/>
    <w:rsid w:val="00EE40B4"/>
    <w:rsid w:val="00EE40BF"/>
    <w:rsid w:val="00EE40F2"/>
    <w:rsid w:val="00EE4413"/>
    <w:rsid w:val="00EE49A3"/>
    <w:rsid w:val="00EE4BE7"/>
    <w:rsid w:val="00EE4E98"/>
    <w:rsid w:val="00EE4FA0"/>
    <w:rsid w:val="00EE5DCB"/>
    <w:rsid w:val="00EE609F"/>
    <w:rsid w:val="00EE64E2"/>
    <w:rsid w:val="00EE6959"/>
    <w:rsid w:val="00EE7E31"/>
    <w:rsid w:val="00EE7FB1"/>
    <w:rsid w:val="00EF07F5"/>
    <w:rsid w:val="00EF0E87"/>
    <w:rsid w:val="00EF1195"/>
    <w:rsid w:val="00EF19B4"/>
    <w:rsid w:val="00EF300C"/>
    <w:rsid w:val="00EF363C"/>
    <w:rsid w:val="00EF368E"/>
    <w:rsid w:val="00EF51D0"/>
    <w:rsid w:val="00EF54B8"/>
    <w:rsid w:val="00EF5936"/>
    <w:rsid w:val="00EF634C"/>
    <w:rsid w:val="00EF6A83"/>
    <w:rsid w:val="00F01B94"/>
    <w:rsid w:val="00F02271"/>
    <w:rsid w:val="00F0238B"/>
    <w:rsid w:val="00F029EF"/>
    <w:rsid w:val="00F03841"/>
    <w:rsid w:val="00F04353"/>
    <w:rsid w:val="00F044D7"/>
    <w:rsid w:val="00F044DC"/>
    <w:rsid w:val="00F046FF"/>
    <w:rsid w:val="00F049D0"/>
    <w:rsid w:val="00F05228"/>
    <w:rsid w:val="00F055DB"/>
    <w:rsid w:val="00F059B6"/>
    <w:rsid w:val="00F05E5D"/>
    <w:rsid w:val="00F063FC"/>
    <w:rsid w:val="00F064DC"/>
    <w:rsid w:val="00F06563"/>
    <w:rsid w:val="00F07579"/>
    <w:rsid w:val="00F075B1"/>
    <w:rsid w:val="00F101B3"/>
    <w:rsid w:val="00F1045C"/>
    <w:rsid w:val="00F1060B"/>
    <w:rsid w:val="00F1066F"/>
    <w:rsid w:val="00F10ECB"/>
    <w:rsid w:val="00F11B36"/>
    <w:rsid w:val="00F121F9"/>
    <w:rsid w:val="00F12D6B"/>
    <w:rsid w:val="00F133D4"/>
    <w:rsid w:val="00F1464E"/>
    <w:rsid w:val="00F154C4"/>
    <w:rsid w:val="00F15ED1"/>
    <w:rsid w:val="00F169F2"/>
    <w:rsid w:val="00F16BBF"/>
    <w:rsid w:val="00F17060"/>
    <w:rsid w:val="00F1724E"/>
    <w:rsid w:val="00F20205"/>
    <w:rsid w:val="00F20403"/>
    <w:rsid w:val="00F20E16"/>
    <w:rsid w:val="00F215F3"/>
    <w:rsid w:val="00F21B77"/>
    <w:rsid w:val="00F22770"/>
    <w:rsid w:val="00F229AB"/>
    <w:rsid w:val="00F22A48"/>
    <w:rsid w:val="00F22E82"/>
    <w:rsid w:val="00F22F72"/>
    <w:rsid w:val="00F240D4"/>
    <w:rsid w:val="00F24FF2"/>
    <w:rsid w:val="00F2541B"/>
    <w:rsid w:val="00F25524"/>
    <w:rsid w:val="00F25C98"/>
    <w:rsid w:val="00F2690B"/>
    <w:rsid w:val="00F26BD1"/>
    <w:rsid w:val="00F26C61"/>
    <w:rsid w:val="00F26E9F"/>
    <w:rsid w:val="00F30018"/>
    <w:rsid w:val="00F30090"/>
    <w:rsid w:val="00F301EC"/>
    <w:rsid w:val="00F30993"/>
    <w:rsid w:val="00F3107E"/>
    <w:rsid w:val="00F33A51"/>
    <w:rsid w:val="00F33BEE"/>
    <w:rsid w:val="00F34736"/>
    <w:rsid w:val="00F349D3"/>
    <w:rsid w:val="00F350AA"/>
    <w:rsid w:val="00F35AA0"/>
    <w:rsid w:val="00F35DA5"/>
    <w:rsid w:val="00F35FF0"/>
    <w:rsid w:val="00F36A00"/>
    <w:rsid w:val="00F36B4B"/>
    <w:rsid w:val="00F3707E"/>
    <w:rsid w:val="00F37187"/>
    <w:rsid w:val="00F37E89"/>
    <w:rsid w:val="00F40854"/>
    <w:rsid w:val="00F41216"/>
    <w:rsid w:val="00F4155B"/>
    <w:rsid w:val="00F41ABA"/>
    <w:rsid w:val="00F41D03"/>
    <w:rsid w:val="00F41D43"/>
    <w:rsid w:val="00F41FFC"/>
    <w:rsid w:val="00F425B2"/>
    <w:rsid w:val="00F42A4B"/>
    <w:rsid w:val="00F42DC4"/>
    <w:rsid w:val="00F43625"/>
    <w:rsid w:val="00F43925"/>
    <w:rsid w:val="00F439F1"/>
    <w:rsid w:val="00F43B06"/>
    <w:rsid w:val="00F43D70"/>
    <w:rsid w:val="00F44186"/>
    <w:rsid w:val="00F4496C"/>
    <w:rsid w:val="00F453E4"/>
    <w:rsid w:val="00F4620E"/>
    <w:rsid w:val="00F474A0"/>
    <w:rsid w:val="00F477F5"/>
    <w:rsid w:val="00F47BF8"/>
    <w:rsid w:val="00F47EBA"/>
    <w:rsid w:val="00F505E1"/>
    <w:rsid w:val="00F5137C"/>
    <w:rsid w:val="00F51FE8"/>
    <w:rsid w:val="00F52890"/>
    <w:rsid w:val="00F5348A"/>
    <w:rsid w:val="00F53664"/>
    <w:rsid w:val="00F54346"/>
    <w:rsid w:val="00F545E8"/>
    <w:rsid w:val="00F547C1"/>
    <w:rsid w:val="00F54ABF"/>
    <w:rsid w:val="00F54EDB"/>
    <w:rsid w:val="00F5532A"/>
    <w:rsid w:val="00F557DF"/>
    <w:rsid w:val="00F55C49"/>
    <w:rsid w:val="00F55D07"/>
    <w:rsid w:val="00F55FDD"/>
    <w:rsid w:val="00F5650F"/>
    <w:rsid w:val="00F567E2"/>
    <w:rsid w:val="00F56B2A"/>
    <w:rsid w:val="00F5766D"/>
    <w:rsid w:val="00F5796F"/>
    <w:rsid w:val="00F60B03"/>
    <w:rsid w:val="00F636F0"/>
    <w:rsid w:val="00F64756"/>
    <w:rsid w:val="00F6498B"/>
    <w:rsid w:val="00F64E48"/>
    <w:rsid w:val="00F657A4"/>
    <w:rsid w:val="00F65A7C"/>
    <w:rsid w:val="00F67419"/>
    <w:rsid w:val="00F67832"/>
    <w:rsid w:val="00F678D2"/>
    <w:rsid w:val="00F67B09"/>
    <w:rsid w:val="00F67B79"/>
    <w:rsid w:val="00F70206"/>
    <w:rsid w:val="00F708D6"/>
    <w:rsid w:val="00F716B8"/>
    <w:rsid w:val="00F72405"/>
    <w:rsid w:val="00F72DAA"/>
    <w:rsid w:val="00F73CA1"/>
    <w:rsid w:val="00F73E73"/>
    <w:rsid w:val="00F742A2"/>
    <w:rsid w:val="00F744D1"/>
    <w:rsid w:val="00F752AA"/>
    <w:rsid w:val="00F75C65"/>
    <w:rsid w:val="00F76F51"/>
    <w:rsid w:val="00F76F67"/>
    <w:rsid w:val="00F774BD"/>
    <w:rsid w:val="00F77D8B"/>
    <w:rsid w:val="00F77F56"/>
    <w:rsid w:val="00F77FAD"/>
    <w:rsid w:val="00F805F0"/>
    <w:rsid w:val="00F80C35"/>
    <w:rsid w:val="00F813F8"/>
    <w:rsid w:val="00F818C7"/>
    <w:rsid w:val="00F82061"/>
    <w:rsid w:val="00F8398A"/>
    <w:rsid w:val="00F83D61"/>
    <w:rsid w:val="00F847F3"/>
    <w:rsid w:val="00F84A1E"/>
    <w:rsid w:val="00F84B77"/>
    <w:rsid w:val="00F84D05"/>
    <w:rsid w:val="00F85B75"/>
    <w:rsid w:val="00F863E9"/>
    <w:rsid w:val="00F86C8C"/>
    <w:rsid w:val="00F86F32"/>
    <w:rsid w:val="00F86FC2"/>
    <w:rsid w:val="00F8747B"/>
    <w:rsid w:val="00F90D32"/>
    <w:rsid w:val="00F910C1"/>
    <w:rsid w:val="00F91421"/>
    <w:rsid w:val="00F929BB"/>
    <w:rsid w:val="00F92C72"/>
    <w:rsid w:val="00F92D83"/>
    <w:rsid w:val="00F93321"/>
    <w:rsid w:val="00F9354E"/>
    <w:rsid w:val="00F94B16"/>
    <w:rsid w:val="00F9559F"/>
    <w:rsid w:val="00F9703F"/>
    <w:rsid w:val="00F97155"/>
    <w:rsid w:val="00F972DA"/>
    <w:rsid w:val="00F977A3"/>
    <w:rsid w:val="00F978E5"/>
    <w:rsid w:val="00F979BA"/>
    <w:rsid w:val="00FA08CF"/>
    <w:rsid w:val="00FA0DA4"/>
    <w:rsid w:val="00FA0E54"/>
    <w:rsid w:val="00FA0E6C"/>
    <w:rsid w:val="00FA11D6"/>
    <w:rsid w:val="00FA1614"/>
    <w:rsid w:val="00FA20C2"/>
    <w:rsid w:val="00FA22E2"/>
    <w:rsid w:val="00FA239A"/>
    <w:rsid w:val="00FA256F"/>
    <w:rsid w:val="00FA2672"/>
    <w:rsid w:val="00FA2833"/>
    <w:rsid w:val="00FA2885"/>
    <w:rsid w:val="00FA2A99"/>
    <w:rsid w:val="00FA308B"/>
    <w:rsid w:val="00FA36E5"/>
    <w:rsid w:val="00FA3857"/>
    <w:rsid w:val="00FA3F71"/>
    <w:rsid w:val="00FA412D"/>
    <w:rsid w:val="00FA43C7"/>
    <w:rsid w:val="00FA6346"/>
    <w:rsid w:val="00FA6EB4"/>
    <w:rsid w:val="00FA719D"/>
    <w:rsid w:val="00FA72FE"/>
    <w:rsid w:val="00FA76D5"/>
    <w:rsid w:val="00FA773A"/>
    <w:rsid w:val="00FB006A"/>
    <w:rsid w:val="00FB0124"/>
    <w:rsid w:val="00FB1E09"/>
    <w:rsid w:val="00FB22F0"/>
    <w:rsid w:val="00FB290B"/>
    <w:rsid w:val="00FB2AED"/>
    <w:rsid w:val="00FB332E"/>
    <w:rsid w:val="00FB3916"/>
    <w:rsid w:val="00FB490F"/>
    <w:rsid w:val="00FB5429"/>
    <w:rsid w:val="00FB558E"/>
    <w:rsid w:val="00FB56CB"/>
    <w:rsid w:val="00FB67DD"/>
    <w:rsid w:val="00FB6AAB"/>
    <w:rsid w:val="00FB7906"/>
    <w:rsid w:val="00FB7F18"/>
    <w:rsid w:val="00FC03A3"/>
    <w:rsid w:val="00FC08E9"/>
    <w:rsid w:val="00FC1C74"/>
    <w:rsid w:val="00FC1D8A"/>
    <w:rsid w:val="00FC2078"/>
    <w:rsid w:val="00FC265F"/>
    <w:rsid w:val="00FC37DB"/>
    <w:rsid w:val="00FC3CBF"/>
    <w:rsid w:val="00FC3F7D"/>
    <w:rsid w:val="00FC450F"/>
    <w:rsid w:val="00FC5165"/>
    <w:rsid w:val="00FC5803"/>
    <w:rsid w:val="00FC58F8"/>
    <w:rsid w:val="00FC5B31"/>
    <w:rsid w:val="00FC5D3E"/>
    <w:rsid w:val="00FC605C"/>
    <w:rsid w:val="00FC6133"/>
    <w:rsid w:val="00FC6454"/>
    <w:rsid w:val="00FC6B17"/>
    <w:rsid w:val="00FC6B36"/>
    <w:rsid w:val="00FC7083"/>
    <w:rsid w:val="00FC742E"/>
    <w:rsid w:val="00FC74DA"/>
    <w:rsid w:val="00FC7BFB"/>
    <w:rsid w:val="00FC7C15"/>
    <w:rsid w:val="00FD0379"/>
    <w:rsid w:val="00FD048A"/>
    <w:rsid w:val="00FD3632"/>
    <w:rsid w:val="00FD3CD3"/>
    <w:rsid w:val="00FD50C6"/>
    <w:rsid w:val="00FD5252"/>
    <w:rsid w:val="00FD5709"/>
    <w:rsid w:val="00FD5DE8"/>
    <w:rsid w:val="00FD605D"/>
    <w:rsid w:val="00FD6451"/>
    <w:rsid w:val="00FD6706"/>
    <w:rsid w:val="00FD69BE"/>
    <w:rsid w:val="00FD7279"/>
    <w:rsid w:val="00FE0275"/>
    <w:rsid w:val="00FE0AB4"/>
    <w:rsid w:val="00FE0EDE"/>
    <w:rsid w:val="00FE0EEB"/>
    <w:rsid w:val="00FE1175"/>
    <w:rsid w:val="00FE2C77"/>
    <w:rsid w:val="00FE3A21"/>
    <w:rsid w:val="00FE3A73"/>
    <w:rsid w:val="00FE4368"/>
    <w:rsid w:val="00FE4DCF"/>
    <w:rsid w:val="00FE6067"/>
    <w:rsid w:val="00FE70A6"/>
    <w:rsid w:val="00FE728A"/>
    <w:rsid w:val="00FF1471"/>
    <w:rsid w:val="00FF1488"/>
    <w:rsid w:val="00FF21BB"/>
    <w:rsid w:val="00FF3F7A"/>
    <w:rsid w:val="00FF4120"/>
    <w:rsid w:val="00FF41A6"/>
    <w:rsid w:val="00FF42B5"/>
    <w:rsid w:val="00FF45B2"/>
    <w:rsid w:val="00FF535B"/>
    <w:rsid w:val="00FF6297"/>
    <w:rsid w:val="00FF65A5"/>
    <w:rsid w:val="00FF765E"/>
    <w:rsid w:val="00FF7E99"/>
    <w:rsid w:val="38DDBAF4"/>
    <w:rsid w:val="6DFFED40"/>
    <w:rsid w:val="7BDF70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D291B"/>
  <w15:docId w15:val="{7B3636E5-83E3-4F9D-A43D-F27A6BFD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1" w:unhideWhenUsed="1" w:qFormat="1"/>
    <w:lsdException w:name="heading 4" w:uiPriority="9" w:unhideWhenUsed="1" w:qFormat="1"/>
    <w:lsdException w:name="heading 5" w:uiPriority="9" w:unhideWhenUsed="1"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lsdException w:name="envelope address" w:semiHidden="1" w:unhideWhenUsed="1"/>
    <w:lsdException w:name="envelope return" w:semiHidden="1" w:unhideWhenUsed="1"/>
    <w:lsdException w:name="footnote reference" w:unhideWhenUsed="1" w:qFormat="1"/>
    <w:lsdException w:name="annotation reference" w:qFormat="1"/>
    <w:lsdException w:name="line number" w:unhideWhenUsed="1"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uiPriority="0"/>
    <w:lsdException w:name="Body Text Indent 2" w:semiHidden="1" w:unhideWhenUsed="1"/>
    <w:lsdException w:name="Body Text Indent 3" w:semiHidden="1" w:unhideWhenUsed="1"/>
    <w:lsdException w:name="Block Text" w:uiPriority="0"/>
    <w:lsdException w:name="Hyperlink" w:unhideWhenUsed="1" w:qFormat="1"/>
    <w:lsdException w:name="FollowedHyperlink" w:semiHidden="1" w:unhideWhenUsed="1"/>
    <w:lsdException w:name="Strong" w:uiPriority="22" w:qFormat="1"/>
    <w:lsdException w:name="Emphasis" w:uiPriority="20" w:qFormat="1"/>
    <w:lsdException w:name="Document Map"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uiPriority="0"/>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284" w:hanging="284"/>
      <w:jc w:val="both"/>
    </w:pPr>
    <w:rPr>
      <w:rFonts w:eastAsia="Times New Roman"/>
      <w:color w:val="000000"/>
      <w:sz w:val="24"/>
      <w:szCs w:val="24"/>
    </w:rPr>
  </w:style>
  <w:style w:type="paragraph" w:styleId="Heading1">
    <w:name w:val="heading 1"/>
    <w:basedOn w:val="Normal"/>
    <w:next w:val="Normal"/>
    <w:link w:val="Heading1Char"/>
    <w:uiPriority w:val="9"/>
    <w:qFormat/>
    <w:pPr>
      <w:widowControl w:val="0"/>
      <w:numPr>
        <w:numId w:val="1"/>
      </w:numPr>
      <w:tabs>
        <w:tab w:val="left" w:pos="810"/>
      </w:tabs>
      <w:autoSpaceDE w:val="0"/>
      <w:autoSpaceDN w:val="0"/>
      <w:ind w:hanging="720"/>
      <w:outlineLvl w:val="0"/>
    </w:pPr>
    <w:rPr>
      <w:rFonts w:ascii="Verdana" w:eastAsia="Arial" w:hAnsi="Verdana"/>
      <w:b/>
      <w:bCs/>
      <w:color w:val="000000" w:themeColor="text1"/>
      <w:w w:val="115"/>
      <w:sz w:val="22"/>
      <w:szCs w:val="22"/>
      <w:lang w:val="en-GB"/>
    </w:rPr>
  </w:style>
  <w:style w:type="paragraph" w:styleId="Heading2">
    <w:name w:val="heading 2"/>
    <w:basedOn w:val="Normal"/>
    <w:next w:val="Normal"/>
    <w:link w:val="Heading2Char"/>
    <w:uiPriority w:val="9"/>
    <w:unhideWhenUsed/>
    <w:qFormat/>
    <w:pPr>
      <w:keepNext/>
      <w:keepLines/>
      <w:spacing w:before="200"/>
      <w:outlineLvl w:val="1"/>
    </w:pPr>
    <w:rPr>
      <w:rFonts w:ascii="Calibri Light" w:hAnsi="Calibri Light"/>
      <w:b/>
      <w:bCs/>
      <w:color w:val="5B9BD5"/>
      <w:sz w:val="26"/>
      <w:szCs w:val="26"/>
    </w:rPr>
  </w:style>
  <w:style w:type="paragraph" w:styleId="Heading3">
    <w:name w:val="heading 3"/>
    <w:aliases w:val="Sub-head,chap 1"/>
    <w:basedOn w:val="Normal"/>
    <w:next w:val="Normal"/>
    <w:link w:val="Heading3Char"/>
    <w:uiPriority w:val="1"/>
    <w:unhideWhenUsed/>
    <w:qFormat/>
    <w:pPr>
      <w:keepNext/>
      <w:keepLines/>
      <w:spacing w:before="200"/>
      <w:outlineLvl w:val="2"/>
    </w:pPr>
    <w:rPr>
      <w:rFonts w:ascii="Calibri Light" w:hAnsi="Calibri Light"/>
      <w:b/>
      <w:bCs/>
      <w:color w:val="5B9BD5"/>
    </w:rPr>
  </w:style>
  <w:style w:type="paragraph" w:styleId="Heading4">
    <w:name w:val="heading 4"/>
    <w:basedOn w:val="Normal"/>
    <w:next w:val="Normal"/>
    <w:link w:val="Heading4Char"/>
    <w:uiPriority w:val="9"/>
    <w:unhideWhenUsed/>
    <w:qFormat/>
    <w:pPr>
      <w:keepNext/>
      <w:keepLines/>
      <w:spacing w:before="560" w:after="360" w:line="276" w:lineRule="auto"/>
      <w:outlineLvl w:val="3"/>
    </w:pPr>
    <w:rPr>
      <w:b/>
      <w:bCs/>
      <w:iCs/>
      <w:szCs w:val="22"/>
    </w:rPr>
  </w:style>
  <w:style w:type="paragraph" w:styleId="Heading5">
    <w:name w:val="heading 5"/>
    <w:basedOn w:val="Normal"/>
    <w:next w:val="Normal"/>
    <w:link w:val="Heading5Char"/>
    <w:uiPriority w:val="9"/>
    <w:unhideWhenUsed/>
    <w:qFormat/>
    <w:pPr>
      <w:tabs>
        <w:tab w:val="left"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uiPriority w:val="9"/>
    <w:qFormat/>
    <w:pPr>
      <w:tabs>
        <w:tab w:val="left" w:pos="4320"/>
      </w:tabs>
      <w:spacing w:before="240" w:after="60"/>
      <w:ind w:left="4320" w:hanging="720"/>
      <w:outlineLvl w:val="5"/>
    </w:pPr>
    <w:rPr>
      <w:b/>
      <w:bCs/>
      <w:sz w:val="20"/>
      <w:szCs w:val="20"/>
    </w:rPr>
  </w:style>
  <w:style w:type="paragraph" w:styleId="Heading7">
    <w:name w:val="heading 7"/>
    <w:basedOn w:val="Normal"/>
    <w:next w:val="Normal"/>
    <w:link w:val="Heading7Char"/>
    <w:uiPriority w:val="9"/>
    <w:unhideWhenUsed/>
    <w:qFormat/>
    <w:pPr>
      <w:tabs>
        <w:tab w:val="left" w:pos="5040"/>
      </w:tabs>
      <w:spacing w:before="240" w:after="60"/>
      <w:ind w:left="5040" w:hanging="720"/>
      <w:outlineLvl w:val="6"/>
    </w:pPr>
    <w:rPr>
      <w:rFonts w:ascii="Calibri" w:hAnsi="Calibri"/>
    </w:rPr>
  </w:style>
  <w:style w:type="paragraph" w:styleId="Heading8">
    <w:name w:val="heading 8"/>
    <w:basedOn w:val="Normal"/>
    <w:next w:val="Normal"/>
    <w:link w:val="Heading8Char"/>
    <w:uiPriority w:val="9"/>
    <w:unhideWhenUsed/>
    <w:qFormat/>
    <w:pPr>
      <w:tabs>
        <w:tab w:val="left" w:pos="5760"/>
      </w:tabs>
      <w:spacing w:before="240" w:after="60"/>
      <w:ind w:left="5760" w:hanging="720"/>
      <w:outlineLvl w:val="7"/>
    </w:pPr>
    <w:rPr>
      <w:rFonts w:ascii="Calibri" w:hAnsi="Calibri"/>
      <w:i/>
      <w:iCs/>
    </w:rPr>
  </w:style>
  <w:style w:type="paragraph" w:styleId="Heading9">
    <w:name w:val="heading 9"/>
    <w:basedOn w:val="Normal"/>
    <w:next w:val="Normal"/>
    <w:link w:val="Heading9Char"/>
    <w:uiPriority w:val="9"/>
    <w:unhideWhenUsed/>
    <w:qFormat/>
    <w:pPr>
      <w:tabs>
        <w:tab w:val="left" w:pos="6480"/>
      </w:tabs>
      <w:spacing w:before="240" w:after="60"/>
      <w:ind w:left="6480" w:hanging="720"/>
      <w:outlineLvl w:val="8"/>
    </w:pPr>
    <w:rPr>
      <w:rFonts w:ascii="Cambria" w:hAnsi="Cambria"/>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cs="Tahoma"/>
      <w:sz w:val="16"/>
      <w:szCs w:val="16"/>
    </w:rPr>
  </w:style>
  <w:style w:type="paragraph" w:styleId="BlockText">
    <w:name w:val="Block Text"/>
    <w:basedOn w:val="Normal"/>
    <w:pPr>
      <w:suppressAutoHyphens/>
      <w:spacing w:line="480" w:lineRule="auto"/>
      <w:ind w:left="720" w:firstLine="0"/>
      <w:jc w:val="left"/>
    </w:pPr>
    <w:rPr>
      <w:color w:val="auto"/>
    </w:rPr>
  </w:style>
  <w:style w:type="paragraph" w:styleId="BodyText">
    <w:name w:val="Body Text"/>
    <w:basedOn w:val="Normal"/>
    <w:link w:val="BodyTextChar"/>
    <w:uiPriority w:val="1"/>
    <w:unhideWhenUsed/>
    <w:qFormat/>
    <w:pPr>
      <w:spacing w:after="120"/>
    </w:pPr>
  </w:style>
  <w:style w:type="paragraph" w:styleId="BodyText2">
    <w:name w:val="Body Text 2"/>
    <w:basedOn w:val="Normal"/>
    <w:link w:val="BodyText2Char"/>
    <w:uiPriority w:val="99"/>
    <w:unhideWhenUsed/>
    <w:pPr>
      <w:widowControl w:val="0"/>
      <w:spacing w:after="120" w:line="480" w:lineRule="auto"/>
      <w:ind w:left="0" w:firstLine="0"/>
      <w:jc w:val="left"/>
    </w:pPr>
    <w:rPr>
      <w:rFonts w:ascii="Calibri" w:eastAsia="Calibri" w:hAnsi="Calibri" w:cs="Arial"/>
      <w:color w:val="auto"/>
      <w:sz w:val="22"/>
      <w:szCs w:val="22"/>
    </w:rPr>
  </w:style>
  <w:style w:type="paragraph" w:styleId="BodyText3">
    <w:name w:val="Body Text 3"/>
    <w:basedOn w:val="Normal"/>
    <w:link w:val="BodyText3Char"/>
    <w:pPr>
      <w:widowControl w:val="0"/>
      <w:autoSpaceDE w:val="0"/>
      <w:autoSpaceDN w:val="0"/>
      <w:adjustRightInd w:val="0"/>
      <w:spacing w:after="120"/>
      <w:ind w:left="0" w:right="-14" w:firstLine="0"/>
    </w:pPr>
    <w:rPr>
      <w:sz w:val="16"/>
      <w:szCs w:val="16"/>
      <w:lang w:val="en-GB"/>
    </w:rPr>
  </w:style>
  <w:style w:type="paragraph" w:styleId="BodyTextIndent">
    <w:name w:val="Body Text Indent"/>
    <w:basedOn w:val="Normal"/>
    <w:link w:val="BodyTextIndentChar"/>
    <w:pPr>
      <w:spacing w:before="129" w:line="480" w:lineRule="auto"/>
      <w:ind w:left="0" w:firstLine="720"/>
      <w:jc w:val="left"/>
    </w:pPr>
    <w:rPr>
      <w:color w:val="auto"/>
      <w:lang w:eastAsia="en-GB" w:bidi="he-IL"/>
    </w:rPr>
  </w:style>
  <w:style w:type="paragraph" w:styleId="Caption">
    <w:name w:val="caption"/>
    <w:basedOn w:val="Normal"/>
    <w:next w:val="Normal"/>
    <w:link w:val="CaptionChar"/>
    <w:qFormat/>
    <w:pPr>
      <w:spacing w:before="240" w:after="240"/>
      <w:ind w:left="0" w:firstLine="0"/>
      <w:jc w:val="left"/>
    </w:pPr>
    <w:rPr>
      <w:rFonts w:ascii="Calibri" w:eastAsia="MS Mincho" w:hAnsi="Calibri"/>
      <w:b/>
      <w:bCs/>
      <w:color w:val="auto"/>
      <w:szCs w:val="20"/>
      <w:lang w:val="en-AU" w:eastAsia="ja-JP"/>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unhideWhenUsed/>
    <w:qFormat/>
    <w:pPr>
      <w:spacing w:after="160"/>
    </w:pPr>
    <w:rPr>
      <w:rFonts w:ascii="Calibri" w:eastAsia="Calibri" w:hAnsi="Calibri" w:cs="Arial"/>
      <w:sz w:val="20"/>
      <w:szCs w:val="20"/>
    </w:rPr>
  </w:style>
  <w:style w:type="paragraph" w:styleId="CommentSubject">
    <w:name w:val="annotation subject"/>
    <w:basedOn w:val="CommentText"/>
    <w:next w:val="CommentText"/>
    <w:link w:val="CommentSubjectChar"/>
    <w:uiPriority w:val="99"/>
    <w:qFormat/>
    <w:pPr>
      <w:spacing w:after="200"/>
      <w:ind w:left="0" w:firstLine="0"/>
      <w:jc w:val="left"/>
    </w:pPr>
    <w:rPr>
      <w:b/>
      <w:bCs/>
    </w:rPr>
  </w:style>
  <w:style w:type="paragraph" w:styleId="DocumentMap">
    <w:name w:val="Document Map"/>
    <w:basedOn w:val="Normal"/>
    <w:link w:val="DocumentMapChar"/>
    <w:uiPriority w:val="99"/>
    <w:qFormat/>
    <w:pPr>
      <w:widowControl w:val="0"/>
      <w:spacing w:line="440" w:lineRule="exact"/>
      <w:ind w:left="0" w:firstLineChars="200" w:firstLine="200"/>
    </w:pPr>
    <w:rPr>
      <w:rFonts w:ascii="SimSun" w:eastAsia="SimSun" w:hAnsi="Calibri"/>
      <w:color w:val="auto"/>
      <w:kern w:val="2"/>
      <w:sz w:val="18"/>
      <w:szCs w:val="18"/>
    </w:rPr>
  </w:style>
  <w:style w:type="character" w:styleId="Emphasis">
    <w:name w:val="Emphasis"/>
    <w:uiPriority w:val="20"/>
    <w:qFormat/>
    <w:rPr>
      <w:i/>
      <w:iCs/>
    </w:rPr>
  </w:style>
  <w:style w:type="character" w:styleId="EndnoteReference">
    <w:name w:val="endnote reference"/>
    <w:uiPriority w:val="99"/>
    <w:unhideWhenUsed/>
    <w:qFormat/>
    <w:rPr>
      <w:vertAlign w:val="superscript"/>
    </w:rPr>
  </w:style>
  <w:style w:type="paragraph" w:styleId="EndnoteText">
    <w:name w:val="endnote text"/>
    <w:basedOn w:val="Normal"/>
    <w:link w:val="EndnoteTextChar"/>
    <w:uiPriority w:val="99"/>
    <w:unhideWhenUsed/>
    <w:qFormat/>
    <w:pPr>
      <w:spacing w:after="160" w:line="259" w:lineRule="auto"/>
      <w:ind w:left="0" w:firstLine="0"/>
      <w:jc w:val="left"/>
    </w:pPr>
    <w:rPr>
      <w:rFonts w:ascii="Calibri" w:eastAsia="Calibri" w:hAnsi="Calibri" w:cs="Arial"/>
      <w:sz w:val="20"/>
      <w:szCs w:val="20"/>
    </w:rPr>
  </w:style>
  <w:style w:type="character" w:styleId="FollowedHyperlink">
    <w:name w:val="FollowedHyperlink"/>
    <w:uiPriority w:val="99"/>
    <w:semiHidden/>
    <w:unhideWhenUsed/>
    <w:rPr>
      <w:color w:val="954F72"/>
      <w:u w:val="single"/>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pPr>
      <w:ind w:left="0" w:firstLine="0"/>
    </w:pPr>
    <w:rPr>
      <w:rFonts w:eastAsia="Calibri"/>
      <w:color w:val="auto"/>
      <w:sz w:val="20"/>
      <w:szCs w:val="20"/>
      <w:lang w:val="en-MY"/>
    </w:rPr>
  </w:style>
  <w:style w:type="paragraph" w:styleId="Header">
    <w:name w:val="header"/>
    <w:basedOn w:val="Normal"/>
    <w:link w:val="HeaderChar"/>
    <w:uiPriority w:val="99"/>
    <w:unhideWhenUsed/>
    <w:qFormat/>
    <w:pPr>
      <w:tabs>
        <w:tab w:val="center" w:pos="4680"/>
        <w:tab w:val="right" w:pos="9360"/>
      </w:tabs>
    </w:pPr>
  </w:style>
  <w:style w:type="character" w:styleId="HTMLCite">
    <w:name w:val="HTML Cite"/>
    <w:uiPriority w:val="99"/>
    <w:semiHidden/>
    <w:unhideWhenUsed/>
    <w:rPr>
      <w:i/>
      <w:iCs/>
    </w:rPr>
  </w:style>
  <w:style w:type="character" w:styleId="HTMLKeyboard">
    <w:name w:val="HTML Keyboard"/>
    <w:basedOn w:val="DefaultParagraphFont"/>
    <w:rPr>
      <w:rFonts w:ascii="Courier New" w:hAnsi="Courier New"/>
      <w:sz w:val="20"/>
      <w:szCs w:val="20"/>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hAnsi="Courier New" w:cs="Courier New"/>
      <w:color w:val="auto"/>
      <w:sz w:val="20"/>
      <w:szCs w:val="20"/>
    </w:rPr>
  </w:style>
  <w:style w:type="character" w:styleId="Hyperlink">
    <w:name w:val="Hyperlink"/>
    <w:uiPriority w:val="99"/>
    <w:unhideWhenUsed/>
    <w:qFormat/>
    <w:rPr>
      <w:color w:val="0563C1"/>
      <w:u w:val="single"/>
    </w:rPr>
  </w:style>
  <w:style w:type="character" w:styleId="LineNumber">
    <w:name w:val="line number"/>
    <w:uiPriority w:val="99"/>
    <w:unhideWhenUsed/>
    <w:qFormat/>
    <w:rPr>
      <w:rFonts w:cs="Times New Roman"/>
    </w:rPr>
  </w:style>
  <w:style w:type="paragraph" w:styleId="List">
    <w:name w:val="List"/>
    <w:basedOn w:val="BodyText"/>
    <w:uiPriority w:val="99"/>
    <w:semiHidden/>
    <w:unhideWhenUsed/>
    <w:pPr>
      <w:suppressAutoHyphens/>
      <w:spacing w:line="276" w:lineRule="auto"/>
      <w:ind w:left="0" w:firstLine="0"/>
      <w:jc w:val="left"/>
    </w:pPr>
    <w:rPr>
      <w:rFonts w:ascii="Calibri" w:eastAsia="Calibri" w:hAnsi="Calibri" w:cs="Lucida Sans"/>
      <w:color w:val="auto"/>
      <w:sz w:val="22"/>
      <w:szCs w:val="22"/>
      <w:lang w:eastAsia="ar-SA"/>
    </w:rPr>
  </w:style>
  <w:style w:type="paragraph" w:styleId="ListBullet">
    <w:name w:val="List Bullet"/>
    <w:basedOn w:val="Normal"/>
    <w:uiPriority w:val="99"/>
    <w:unhideWhenUsed/>
    <w:pPr>
      <w:ind w:left="0" w:firstLine="0"/>
      <w:contextualSpacing/>
      <w:jc w:val="left"/>
    </w:pPr>
    <w:rPr>
      <w:color w:val="auto"/>
    </w:rPr>
  </w:style>
  <w:style w:type="paragraph" w:styleId="ListNumber">
    <w:name w:val="List Number"/>
    <w:basedOn w:val="Normal"/>
    <w:uiPriority w:val="99"/>
    <w:semiHidden/>
    <w:unhideWhenUsed/>
    <w:pPr>
      <w:numPr>
        <w:numId w:val="2"/>
      </w:numPr>
      <w:spacing w:after="160" w:line="259" w:lineRule="auto"/>
      <w:contextualSpacing/>
      <w:jc w:val="left"/>
    </w:pPr>
    <w:rPr>
      <w:rFonts w:ascii="Calibri" w:eastAsia="Calibri" w:hAnsi="Calibri" w:cs="Arial"/>
      <w:color w:val="auto"/>
      <w:sz w:val="22"/>
      <w:szCs w:val="22"/>
    </w:rPr>
  </w:style>
  <w:style w:type="paragraph" w:styleId="NormalWeb">
    <w:name w:val="Normal (Web)"/>
    <w:basedOn w:val="Normal"/>
    <w:link w:val="NormalWebChar"/>
    <w:uiPriority w:val="99"/>
    <w:qFormat/>
    <w:pPr>
      <w:spacing w:before="100" w:beforeAutospacing="1" w:after="100" w:afterAutospacing="1"/>
    </w:pPr>
  </w:style>
  <w:style w:type="character" w:styleId="PageNumber">
    <w:name w:val="page number"/>
    <w:basedOn w:val="DefaultParagraphFont"/>
    <w:uiPriority w:val="99"/>
  </w:style>
  <w:style w:type="paragraph" w:styleId="PlainText">
    <w:name w:val="Plain Text"/>
    <w:basedOn w:val="Normal"/>
    <w:link w:val="PlainTextChar"/>
    <w:uiPriority w:val="99"/>
    <w:pPr>
      <w:spacing w:line="480" w:lineRule="auto"/>
      <w:ind w:left="0" w:firstLine="720"/>
      <w:jc w:val="mediumKashida"/>
    </w:pPr>
    <w:rPr>
      <w:rFonts w:ascii="Courier New" w:hAnsi="Courier New" w:cs="Courier New"/>
      <w:color w:val="auto"/>
      <w:sz w:val="20"/>
      <w:szCs w:val="20"/>
      <w:lang w:val="en-GB" w:bidi="ur-PK"/>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200" w:line="276" w:lineRule="auto"/>
      <w:ind w:left="0" w:firstLine="0"/>
      <w:jc w:val="left"/>
    </w:pPr>
    <w:rPr>
      <w:rFonts w:ascii="Calibri Light" w:hAnsi="Calibri Light"/>
      <w:i/>
      <w:iCs/>
      <w:color w:val="4F81BD"/>
      <w:spacing w:val="15"/>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pPr>
      <w:spacing w:line="259" w:lineRule="auto"/>
      <w:ind w:left="0" w:firstLine="0"/>
      <w:jc w:val="left"/>
    </w:pPr>
    <w:rPr>
      <w:rFonts w:ascii="Calibri" w:eastAsia="Calibri" w:hAnsi="Calibri" w:cs="Calibri"/>
      <w:color w:val="auto"/>
      <w:sz w:val="22"/>
      <w:szCs w:val="22"/>
    </w:r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MY"/>
    </w:rPr>
  </w:style>
  <w:style w:type="paragraph" w:styleId="TOC1">
    <w:name w:val="toc 1"/>
    <w:basedOn w:val="Normal"/>
    <w:next w:val="Normal"/>
    <w:uiPriority w:val="39"/>
    <w:unhideWhenUsed/>
    <w:qFormat/>
    <w:pPr>
      <w:spacing w:after="100" w:line="259" w:lineRule="auto"/>
    </w:pPr>
    <w:rPr>
      <w:rFonts w:ascii="Calibri" w:eastAsia="Calibri" w:hAnsi="Calibri" w:cs="Arial"/>
      <w:sz w:val="22"/>
      <w:szCs w:val="22"/>
      <w:lang w:val="en-MY"/>
    </w:rPr>
  </w:style>
  <w:style w:type="paragraph" w:styleId="TOC2">
    <w:name w:val="toc 2"/>
    <w:basedOn w:val="Normal"/>
    <w:next w:val="Normal"/>
    <w:uiPriority w:val="39"/>
    <w:unhideWhenUsed/>
    <w:qFormat/>
    <w:pPr>
      <w:spacing w:after="100" w:line="259" w:lineRule="auto"/>
      <w:ind w:left="220"/>
    </w:pPr>
    <w:rPr>
      <w:rFonts w:ascii="Calibri" w:eastAsia="Calibri" w:hAnsi="Calibri" w:cs="Arial"/>
      <w:sz w:val="22"/>
      <w:szCs w:val="22"/>
      <w:lang w:val="en-MY"/>
    </w:rPr>
  </w:style>
  <w:style w:type="paragraph" w:styleId="TOC3">
    <w:name w:val="toc 3"/>
    <w:basedOn w:val="Normal"/>
    <w:next w:val="Normal"/>
    <w:uiPriority w:val="39"/>
    <w:unhideWhenUsed/>
    <w:qFormat/>
    <w:pPr>
      <w:spacing w:after="100" w:line="259" w:lineRule="auto"/>
      <w:ind w:left="440"/>
    </w:pPr>
    <w:rPr>
      <w:rFonts w:ascii="Calibri" w:eastAsia="Calibri" w:hAnsi="Calibri" w:cs="Arial"/>
      <w:sz w:val="22"/>
      <w:szCs w:val="22"/>
      <w:lang w:val="en-MY"/>
    </w:rPr>
  </w:style>
  <w:style w:type="paragraph" w:styleId="TOC4">
    <w:name w:val="toc 4"/>
    <w:basedOn w:val="Normal"/>
    <w:next w:val="Normal"/>
    <w:uiPriority w:val="39"/>
    <w:qFormat/>
    <w:pPr>
      <w:widowControl w:val="0"/>
      <w:autoSpaceDE w:val="0"/>
      <w:autoSpaceDN w:val="0"/>
      <w:spacing w:before="139"/>
      <w:ind w:left="1720" w:hanging="541"/>
      <w:jc w:val="left"/>
    </w:pPr>
    <w:rPr>
      <w:color w:val="auto"/>
      <w:lang w:bidi="en-US"/>
    </w:rPr>
  </w:style>
  <w:style w:type="paragraph" w:styleId="TOC5">
    <w:name w:val="toc 5"/>
    <w:basedOn w:val="Normal"/>
    <w:next w:val="Normal"/>
    <w:uiPriority w:val="39"/>
    <w:qFormat/>
    <w:pPr>
      <w:widowControl w:val="0"/>
      <w:autoSpaceDE w:val="0"/>
      <w:autoSpaceDN w:val="0"/>
      <w:spacing w:before="137"/>
      <w:ind w:left="1720" w:hanging="541"/>
      <w:jc w:val="left"/>
    </w:pPr>
    <w:rPr>
      <w:b/>
      <w:bCs/>
      <w:i/>
      <w:color w:val="auto"/>
      <w:sz w:val="22"/>
      <w:szCs w:val="22"/>
      <w:lang w:bidi="en-US"/>
    </w:rPr>
  </w:style>
  <w:style w:type="paragraph" w:styleId="TOC6">
    <w:name w:val="toc 6"/>
    <w:basedOn w:val="Normal"/>
    <w:next w:val="Normal"/>
    <w:uiPriority w:val="39"/>
    <w:qFormat/>
    <w:pPr>
      <w:widowControl w:val="0"/>
      <w:autoSpaceDE w:val="0"/>
      <w:autoSpaceDN w:val="0"/>
      <w:spacing w:before="139"/>
      <w:ind w:left="1180" w:right="1305" w:firstLine="0"/>
      <w:jc w:val="left"/>
    </w:pPr>
    <w:rPr>
      <w:b/>
      <w:bCs/>
      <w:i/>
      <w:color w:val="auto"/>
      <w:sz w:val="22"/>
      <w:szCs w:val="22"/>
      <w:lang w:bidi="en-US"/>
    </w:rPr>
  </w:style>
  <w:style w:type="paragraph" w:styleId="TOC7">
    <w:name w:val="toc 7"/>
    <w:basedOn w:val="Normal"/>
    <w:next w:val="Normal"/>
    <w:uiPriority w:val="39"/>
    <w:pPr>
      <w:widowControl w:val="0"/>
      <w:autoSpaceDE w:val="0"/>
      <w:autoSpaceDN w:val="0"/>
      <w:adjustRightInd w:val="0"/>
      <w:spacing w:after="100" w:line="360" w:lineRule="auto"/>
      <w:ind w:left="1320" w:right="-14" w:firstLine="0"/>
    </w:pPr>
    <w:rPr>
      <w:rFonts w:eastAsia="Calibri"/>
      <w:spacing w:val="1"/>
    </w:rPr>
  </w:style>
  <w:style w:type="paragraph" w:styleId="TOC8">
    <w:name w:val="toc 8"/>
    <w:basedOn w:val="Normal"/>
    <w:next w:val="Normal"/>
    <w:uiPriority w:val="39"/>
    <w:pPr>
      <w:widowControl w:val="0"/>
      <w:autoSpaceDE w:val="0"/>
      <w:autoSpaceDN w:val="0"/>
      <w:adjustRightInd w:val="0"/>
      <w:spacing w:after="100" w:line="360" w:lineRule="auto"/>
      <w:ind w:left="1540" w:right="-14" w:firstLine="0"/>
    </w:pPr>
    <w:rPr>
      <w:rFonts w:eastAsia="Calibri"/>
      <w:spacing w:val="1"/>
    </w:rPr>
  </w:style>
  <w:style w:type="paragraph" w:styleId="TOC9">
    <w:name w:val="toc 9"/>
    <w:basedOn w:val="Normal"/>
    <w:next w:val="Normal"/>
    <w:uiPriority w:val="39"/>
    <w:pPr>
      <w:widowControl w:val="0"/>
      <w:autoSpaceDE w:val="0"/>
      <w:autoSpaceDN w:val="0"/>
      <w:adjustRightInd w:val="0"/>
      <w:spacing w:after="100" w:line="360" w:lineRule="auto"/>
      <w:ind w:left="1760" w:right="-14" w:firstLine="0"/>
    </w:pPr>
    <w:rPr>
      <w:rFonts w:eastAsia="Calibri"/>
      <w:spacing w:val="1"/>
    </w:rPr>
  </w:style>
  <w:style w:type="table" w:styleId="LightShading-Accent2">
    <w:name w:val="Light Shading Accent 2"/>
    <w:basedOn w:val="TableNormal"/>
    <w:uiPriority w:val="30"/>
    <w:rPr>
      <w:i/>
      <w:iCs/>
      <w:color w:val="5B9BD5"/>
      <w:sz w:val="22"/>
      <w:szCs w:val="22"/>
    </w:rPr>
    <w:tblPr>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4">
    <w:name w:val="Light Shading Accent 4"/>
    <w:basedOn w:val="TableNormal"/>
    <w:rPr>
      <w:rFonts w:ascii="Calibri" w:eastAsia="Times New Roman" w:hAnsi="Calibri"/>
      <w:color w:val="BF8F00"/>
    </w:rPr>
    <w:tblPr>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MediumGrid3-Accent1">
    <w:name w:val="Medium Grid 3 Accent 1"/>
    <w:basedOn w:val="TableNormal"/>
    <w:uiPriority w:val="69"/>
    <w:rPr>
      <w:rFonts w:ascii="Calibri" w:eastAsia="Calibri" w:hAnsi="Calibri"/>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FFFFF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FFFFF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rPr>
      <w:rFonts w:ascii="Calibri" w:eastAsia="Calibri" w:hAnsi="Calibri"/>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FFFFF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FFFFF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rPr>
      <w:rFonts w:ascii="Calibri" w:eastAsia="Calibri" w:hAnsi="Calibri"/>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FFFFF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FFFFF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rPr>
      <w:rFonts w:ascii="Calibri" w:eastAsia="Calibri" w:hAnsi="Calibri"/>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FFFFF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FFFFF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Pr>
      <w:rFonts w:ascii="Calibri" w:eastAsia="Calibri" w:hAnsi="Calibri"/>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FFFFF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FFFFF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Pr>
      <w:rFonts w:ascii="Calibri" w:eastAsia="Calibri" w:hAnsi="Calibri"/>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FFFFF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FFFFF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table" w:styleId="ColorfulGrid-Accent1">
    <w:name w:val="Colorful Grid Accent 1"/>
    <w:basedOn w:val="TableNormal"/>
    <w:uiPriority w:val="29"/>
    <w:rPr>
      <w:i/>
      <w:iCs/>
      <w:color w:val="404040"/>
      <w:sz w:val="22"/>
      <w:szCs w:val="22"/>
    </w:rPr>
    <w:tblPr>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character" w:customStyle="1" w:styleId="Heading1Char">
    <w:name w:val="Heading 1 Char"/>
    <w:link w:val="Heading1"/>
    <w:uiPriority w:val="9"/>
    <w:qFormat/>
    <w:rPr>
      <w:rFonts w:ascii="Verdana" w:eastAsia="Arial" w:hAnsi="Verdana"/>
      <w:b/>
      <w:bCs/>
      <w:color w:val="000000" w:themeColor="text1"/>
      <w:w w:val="115"/>
      <w:sz w:val="22"/>
      <w:szCs w:val="22"/>
      <w:lang w:val="en-GB"/>
    </w:rPr>
  </w:style>
  <w:style w:type="character" w:customStyle="1" w:styleId="Heading2Char">
    <w:name w:val="Heading 2 Char"/>
    <w:link w:val="Heading2"/>
    <w:uiPriority w:val="9"/>
    <w:rPr>
      <w:rFonts w:ascii="Calibri Light" w:eastAsia="Times New Roman" w:hAnsi="Calibri Light" w:cs="Times New Roman"/>
      <w:b/>
      <w:bCs/>
      <w:color w:val="5B9BD5"/>
      <w:sz w:val="26"/>
      <w:szCs w:val="26"/>
    </w:rPr>
  </w:style>
  <w:style w:type="character" w:customStyle="1" w:styleId="Heading3Char">
    <w:name w:val="Heading 3 Char"/>
    <w:aliases w:val="Sub-head Char,chap 1 Char"/>
    <w:link w:val="Heading3"/>
    <w:uiPriority w:val="1"/>
    <w:rPr>
      <w:rFonts w:ascii="Calibri Light" w:eastAsia="Times New Roman" w:hAnsi="Calibri Light" w:cs="Times New Roman"/>
      <w:b/>
      <w:bCs/>
      <w:color w:val="5B9BD5"/>
      <w:sz w:val="24"/>
      <w:szCs w:val="24"/>
    </w:rPr>
  </w:style>
  <w:style w:type="character" w:customStyle="1" w:styleId="Heading4Char">
    <w:name w:val="Heading 4 Char"/>
    <w:link w:val="Heading4"/>
    <w:uiPriority w:val="9"/>
    <w:rPr>
      <w:rFonts w:ascii="Times New Roman" w:eastAsia="Times New Roman" w:hAnsi="Times New Roman" w:cs="Times New Roman"/>
      <w:b/>
      <w:bCs/>
      <w:iCs/>
      <w:sz w:val="24"/>
    </w:rPr>
  </w:style>
  <w:style w:type="character" w:customStyle="1" w:styleId="Heading5Char">
    <w:name w:val="Heading 5 Char"/>
    <w:link w:val="Heading5"/>
    <w:uiPriority w:val="9"/>
    <w:rPr>
      <w:rFonts w:ascii="Calibri" w:eastAsia="Times New Roman" w:hAnsi="Calibri" w:cs="Times New Roman"/>
      <w:b/>
      <w:bCs/>
      <w:i/>
      <w:iCs/>
      <w:sz w:val="26"/>
      <w:szCs w:val="26"/>
    </w:rPr>
  </w:style>
  <w:style w:type="character" w:customStyle="1" w:styleId="Heading6Char">
    <w:name w:val="Heading 6 Char"/>
    <w:link w:val="Heading6"/>
    <w:uiPriority w:val="9"/>
    <w:rPr>
      <w:rFonts w:ascii="Times New Roman" w:eastAsia="Times New Roman" w:hAnsi="Times New Roman" w:cs="Times New Roman"/>
      <w:b/>
      <w:bCs/>
      <w:sz w:val="20"/>
      <w:szCs w:val="20"/>
    </w:rPr>
  </w:style>
  <w:style w:type="character" w:customStyle="1" w:styleId="Heading7Char">
    <w:name w:val="Heading 7 Char"/>
    <w:link w:val="Heading7"/>
    <w:uiPriority w:val="9"/>
    <w:rPr>
      <w:rFonts w:ascii="Calibri" w:eastAsia="Times New Roman" w:hAnsi="Calibri" w:cs="Times New Roman"/>
      <w:sz w:val="24"/>
      <w:szCs w:val="24"/>
    </w:rPr>
  </w:style>
  <w:style w:type="character" w:customStyle="1" w:styleId="Heading8Char">
    <w:name w:val="Heading 8 Char"/>
    <w:link w:val="Heading8"/>
    <w:uiPriority w:val="9"/>
    <w:rPr>
      <w:rFonts w:ascii="Calibri" w:eastAsia="Times New Roman" w:hAnsi="Calibri" w:cs="Times New Roman"/>
      <w:i/>
      <w:iCs/>
      <w:sz w:val="24"/>
      <w:szCs w:val="24"/>
    </w:rPr>
  </w:style>
  <w:style w:type="character" w:customStyle="1" w:styleId="Heading9Char">
    <w:name w:val="Heading 9 Char"/>
    <w:link w:val="Heading9"/>
    <w:uiPriority w:val="9"/>
    <w:rPr>
      <w:rFonts w:ascii="Cambria" w:eastAsia="Times New Roman" w:hAnsi="Cambria" w:cs="Times New Roman"/>
      <w:sz w:val="20"/>
      <w:szCs w:val="20"/>
    </w:rPr>
  </w:style>
  <w:style w:type="paragraph" w:styleId="ListParagraph">
    <w:name w:val="List Paragraph"/>
    <w:aliases w:val="List Paragraph (numbered (a)),Project Profile name,Dot pt,List Paragraph Char Char Char,Indicator Text,Numbered Para 1,List Paragraph12,Bullet Points,MAIN CONTENT,Bullet 1,List_Paragraph,Bullets,Liste 1,lp"/>
    <w:basedOn w:val="Normal"/>
    <w:link w:val="ListParagraphChar"/>
    <w:uiPriority w:val="99"/>
    <w:qFormat/>
    <w:pPr>
      <w:ind w:left="720"/>
      <w:contextualSpacing/>
    </w:pPr>
  </w:style>
  <w:style w:type="character" w:customStyle="1" w:styleId="ListParagraphChar">
    <w:name w:val="List Paragraph Char"/>
    <w:aliases w:val="List Paragraph (numbered (a)) Char,Project Profile name Char,Dot pt Char,List Paragraph Char Char Char Char,Indicator Text Char,Numbered Para 1 Char,List Paragraph12 Char,Bullet Points Char,MAIN CONTENT Char,Bullet 1 Char,lp Char"/>
    <w:link w:val="ListParagraph"/>
    <w:uiPriority w:val="34"/>
    <w:qFormat/>
    <w:rPr>
      <w:rFonts w:ascii="Times New Roman" w:eastAsia="Times New Roman" w:hAnsi="Times New Roman" w:cs="Times New Roman"/>
      <w:sz w:val="24"/>
      <w:szCs w:val="24"/>
    </w:rPr>
  </w:style>
  <w:style w:type="character" w:customStyle="1" w:styleId="HeaderChar">
    <w:name w:val="Header Char"/>
    <w:link w:val="Header"/>
    <w:uiPriority w:val="99"/>
    <w:qFormat/>
    <w:rPr>
      <w:rFonts w:ascii="Times New Roman" w:eastAsia="Times New Roman" w:hAnsi="Times New Roman" w:cs="Times New Roman"/>
      <w:sz w:val="24"/>
      <w:szCs w:val="24"/>
    </w:rPr>
  </w:style>
  <w:style w:type="character" w:customStyle="1" w:styleId="FooterChar">
    <w:name w:val="Footer Char"/>
    <w:link w:val="Footer"/>
    <w:uiPriority w:val="99"/>
    <w:qFormat/>
    <w:rPr>
      <w:rFonts w:ascii="Times New Roman" w:eastAsia="Times New Roman" w:hAnsi="Times New Roman" w:cs="Times New Roman"/>
      <w:sz w:val="24"/>
      <w:szCs w:val="24"/>
    </w:rPr>
  </w:style>
  <w:style w:type="character" w:customStyle="1" w:styleId="BalloonTextChar">
    <w:name w:val="Balloon Text Char"/>
    <w:link w:val="BalloonText"/>
    <w:uiPriority w:val="99"/>
    <w:qFormat/>
    <w:rPr>
      <w:rFonts w:ascii="Tahoma" w:eastAsia="Times New Roman" w:hAnsi="Tahoma" w:cs="Tahoma"/>
      <w:sz w:val="16"/>
      <w:szCs w:val="16"/>
    </w:rPr>
  </w:style>
  <w:style w:type="paragraph" w:styleId="NoSpacing">
    <w:name w:val="No Spacing"/>
    <w:link w:val="NoSpacingChar"/>
    <w:uiPriority w:val="1"/>
    <w:qFormat/>
    <w:pPr>
      <w:ind w:left="284" w:hanging="284"/>
      <w:jc w:val="both"/>
    </w:pPr>
    <w:rPr>
      <w:rFonts w:ascii="Calibri" w:hAnsi="Calibri"/>
      <w:color w:val="000000"/>
      <w:sz w:val="16"/>
      <w:szCs w:val="16"/>
    </w:rPr>
  </w:style>
  <w:style w:type="character" w:customStyle="1" w:styleId="NoSpacingChar">
    <w:name w:val="No Spacing Char"/>
    <w:link w:val="NoSpacing"/>
    <w:uiPriority w:val="1"/>
    <w:rPr>
      <w:rFonts w:ascii="Calibri" w:eastAsia="Calibri" w:hAnsi="Calibri" w:cs="Times New Roman"/>
    </w:rPr>
  </w:style>
  <w:style w:type="paragraph" w:customStyle="1" w:styleId="Default">
    <w:name w:val="Default"/>
    <w:link w:val="DefaultChar"/>
    <w:pPr>
      <w:autoSpaceDE w:val="0"/>
      <w:autoSpaceDN w:val="0"/>
      <w:adjustRightInd w:val="0"/>
      <w:ind w:left="284" w:hanging="284"/>
      <w:jc w:val="both"/>
    </w:pPr>
    <w:rPr>
      <w:rFonts w:eastAsia="Times New Roman"/>
      <w:color w:val="000000"/>
      <w:sz w:val="24"/>
      <w:szCs w:val="24"/>
    </w:rPr>
  </w:style>
  <w:style w:type="character" w:customStyle="1" w:styleId="DefaultChar">
    <w:name w:val="Default Char"/>
    <w:link w:val="Default"/>
    <w:rPr>
      <w:rFonts w:eastAsia="Times New Roman"/>
      <w:sz w:val="24"/>
      <w:szCs w:val="24"/>
    </w:rPr>
  </w:style>
  <w:style w:type="table" w:customStyle="1" w:styleId="LightShading1">
    <w:name w:val="Light Shading1"/>
    <w:basedOn w:val="TableNormal"/>
    <w:uiPriority w:val="60"/>
    <w:rPr>
      <w:rFonts w:eastAsia="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ndNoteBibliography">
    <w:name w:val="EndNote Bibliography"/>
    <w:basedOn w:val="Normal"/>
    <w:link w:val="EndNoteBibliographyChar"/>
    <w:qFormat/>
    <w:pPr>
      <w:spacing w:after="200"/>
    </w:pPr>
    <w:rPr>
      <w:rFonts w:eastAsia="Calibri"/>
      <w:szCs w:val="20"/>
    </w:rPr>
  </w:style>
  <w:style w:type="character" w:customStyle="1" w:styleId="EndNoteBibliographyChar">
    <w:name w:val="EndNote Bibliography Char"/>
    <w:link w:val="EndNoteBibliography"/>
    <w:rPr>
      <w:rFonts w:eastAsia="Calibri"/>
      <w:color w:val="000000"/>
      <w:sz w:val="24"/>
    </w:rPr>
  </w:style>
  <w:style w:type="character" w:customStyle="1" w:styleId="TitleChar">
    <w:name w:val="Title Char"/>
    <w:link w:val="Title"/>
    <w:uiPriority w:val="10"/>
    <w:qFormat/>
    <w:rPr>
      <w:rFonts w:ascii="Calibri Light" w:eastAsia="Times New Roman" w:hAnsi="Calibri Light" w:cs="Times New Roman"/>
      <w:spacing w:val="-10"/>
      <w:kern w:val="28"/>
      <w:sz w:val="56"/>
      <w:szCs w:val="56"/>
      <w:lang w:val="en-MY"/>
    </w:rPr>
  </w:style>
  <w:style w:type="character" w:customStyle="1" w:styleId="CommentTextChar">
    <w:name w:val="Comment Text Char"/>
    <w:link w:val="CommentText"/>
    <w:uiPriority w:val="99"/>
    <w:qFormat/>
    <w:rPr>
      <w:sz w:val="20"/>
      <w:szCs w:val="20"/>
    </w:rPr>
  </w:style>
  <w:style w:type="character" w:customStyle="1" w:styleId="CommentTextChar1">
    <w:name w:val="Comment Text Char1"/>
    <w:uiPriority w:val="99"/>
    <w:semiHidden/>
    <w:rPr>
      <w:rFonts w:ascii="Times New Roman" w:eastAsia="Times New Roman" w:hAnsi="Times New Roman" w:cs="Times New Roman"/>
      <w:sz w:val="20"/>
      <w:szCs w:val="20"/>
    </w:rPr>
  </w:style>
  <w:style w:type="paragraph" w:customStyle="1" w:styleId="TOCHeading1">
    <w:name w:val="TOC Heading1"/>
    <w:basedOn w:val="Heading1"/>
    <w:next w:val="Normal"/>
    <w:uiPriority w:val="39"/>
    <w:unhideWhenUsed/>
    <w:qFormat/>
    <w:pPr>
      <w:spacing w:before="240" w:line="259" w:lineRule="auto"/>
      <w:jc w:val="left"/>
      <w:outlineLvl w:val="9"/>
    </w:pPr>
    <w:rPr>
      <w:rFonts w:ascii="Calibri Light" w:hAnsi="Calibri Light"/>
      <w:color w:val="2E74B5"/>
      <w:sz w:val="32"/>
      <w:szCs w:val="32"/>
    </w:rPr>
  </w:style>
  <w:style w:type="character" w:customStyle="1" w:styleId="BookTitle1">
    <w:name w:val="Book Title1"/>
    <w:uiPriority w:val="33"/>
    <w:qFormat/>
    <w:rPr>
      <w:b/>
      <w:bCs/>
      <w:smallCaps/>
      <w:spacing w:val="5"/>
    </w:rPr>
  </w:style>
  <w:style w:type="paragraph" w:customStyle="1" w:styleId="EndNoteBibliographyTitle">
    <w:name w:val="EndNote Bibliography Title"/>
    <w:basedOn w:val="Normal"/>
    <w:link w:val="EndNoteBibliographyTitleChar"/>
    <w:qFormat/>
    <w:pPr>
      <w:spacing w:line="276" w:lineRule="auto"/>
      <w:jc w:val="center"/>
    </w:pPr>
    <w:rPr>
      <w:rFonts w:eastAsia="Calibri"/>
      <w:szCs w:val="22"/>
    </w:rPr>
  </w:style>
  <w:style w:type="character" w:customStyle="1" w:styleId="EndNoteBibliographyTitleChar">
    <w:name w:val="EndNote Bibliography Title Char"/>
    <w:link w:val="EndNoteBibliographyTitle"/>
    <w:rPr>
      <w:rFonts w:eastAsia="Calibri"/>
      <w:color w:val="000000"/>
      <w:sz w:val="24"/>
      <w:szCs w:val="22"/>
    </w:rPr>
  </w:style>
  <w:style w:type="character" w:customStyle="1" w:styleId="words">
    <w:name w:val="words"/>
  </w:style>
  <w:style w:type="character" w:customStyle="1" w:styleId="wordiness">
    <w:name w:val="wordiness"/>
  </w:style>
  <w:style w:type="character" w:customStyle="1" w:styleId="passivevoice">
    <w:name w:val="passivevoice"/>
  </w:style>
  <w:style w:type="character" w:customStyle="1" w:styleId="wordchoice">
    <w:name w:val="wordchoice"/>
  </w:style>
  <w:style w:type="character" w:customStyle="1" w:styleId="SubtleEmphasis1">
    <w:name w:val="Subtle Emphasis1"/>
    <w:uiPriority w:val="19"/>
    <w:qFormat/>
    <w:rPr>
      <w:i/>
      <w:iCs/>
      <w:color w:val="808080"/>
    </w:rPr>
  </w:style>
  <w:style w:type="character" w:customStyle="1" w:styleId="HeaderChar1">
    <w:name w:val="Header Char1"/>
    <w:basedOn w:val="DefaultParagraphFont"/>
    <w:uiPriority w:val="99"/>
  </w:style>
  <w:style w:type="character" w:customStyle="1" w:styleId="FooterChar1">
    <w:name w:val="Footer Char1"/>
    <w:basedOn w:val="DefaultParagraphFont"/>
    <w:uiPriority w:val="99"/>
  </w:style>
  <w:style w:type="character" w:customStyle="1" w:styleId="SubtitleChar">
    <w:name w:val="Subtitle Char"/>
    <w:link w:val="Subtitle"/>
    <w:uiPriority w:val="11"/>
    <w:rPr>
      <w:rFonts w:ascii="Calibri Light" w:eastAsia="Times New Roman" w:hAnsi="Calibri Light" w:cs="Times New Roman"/>
      <w:i/>
      <w:iCs/>
      <w:color w:val="4F81BD"/>
      <w:spacing w:val="15"/>
      <w:sz w:val="24"/>
      <w:szCs w:val="24"/>
    </w:rPr>
  </w:style>
  <w:style w:type="character" w:customStyle="1" w:styleId="CommentSubjectChar">
    <w:name w:val="Comment Subject Char"/>
    <w:link w:val="CommentSubject"/>
    <w:uiPriority w:val="99"/>
    <w:qFormat/>
    <w:rPr>
      <w:b/>
      <w:bCs/>
      <w:sz w:val="20"/>
      <w:szCs w:val="20"/>
    </w:rPr>
  </w:style>
  <w:style w:type="character" w:customStyle="1" w:styleId="CommentSubjectChar1">
    <w:name w:val="Comment Subject Char1"/>
    <w:uiPriority w:val="99"/>
    <w:rPr>
      <w:rFonts w:ascii="Times New Roman" w:eastAsia="Times New Roman" w:hAnsi="Times New Roman" w:cs="Times New Roman"/>
      <w:b/>
      <w:bCs/>
      <w:sz w:val="20"/>
      <w:szCs w:val="20"/>
    </w:rPr>
  </w:style>
  <w:style w:type="table" w:customStyle="1" w:styleId="LightShading2">
    <w:name w:val="Light Shading2"/>
    <w:basedOn w:val="TableNormal"/>
    <w:tblPr>
      <w:tblBorders>
        <w:top w:val="single" w:sz="8" w:space="0" w:color="000000"/>
        <w:bottom w:val="single" w:sz="8" w:space="0" w:color="000000"/>
      </w:tblBorders>
    </w:tblPr>
    <w:tblStylePr w:type="firstRow">
      <w:pPr>
        <w:spacing w:before="100" w:beforeAutospacing="1"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100" w:beforeAutospacing="1"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ibliography1">
    <w:name w:val="Bibliography1"/>
    <w:basedOn w:val="Normal"/>
    <w:next w:val="Normal"/>
    <w:uiPriority w:val="37"/>
    <w:qFormat/>
    <w:pPr>
      <w:spacing w:after="200" w:line="276" w:lineRule="auto"/>
      <w:ind w:left="0" w:firstLine="0"/>
      <w:jc w:val="left"/>
    </w:pPr>
    <w:rPr>
      <w:rFonts w:ascii="Calibri" w:eastAsia="Calibri" w:hAnsi="Calibri" w:cs="Arial"/>
      <w:sz w:val="22"/>
      <w:szCs w:val="22"/>
    </w:rPr>
  </w:style>
  <w:style w:type="character" w:styleId="PlaceholderText">
    <w:name w:val="Placeholder Text"/>
    <w:uiPriority w:val="99"/>
    <w:qFormat/>
    <w:rPr>
      <w:color w:val="808080"/>
    </w:rPr>
  </w:style>
  <w:style w:type="table" w:customStyle="1" w:styleId="LightShading3">
    <w:name w:val="Light Shading3"/>
    <w:basedOn w:val="TableNormal"/>
    <w:uiPriority w:val="60"/>
    <w:rPr>
      <w:rFonts w:ascii="Calibri" w:hAnsi="Calibri" w:cs="Arial"/>
      <w:color w:val="000000"/>
      <w:sz w:val="22"/>
      <w:szCs w:val="22"/>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gmail-msolistparagraph">
    <w:name w:val="gmail-msolistparagraph"/>
    <w:basedOn w:val="Normal"/>
    <w:pPr>
      <w:spacing w:before="100" w:beforeAutospacing="1" w:after="100" w:afterAutospacing="1"/>
      <w:ind w:left="0" w:firstLine="0"/>
      <w:jc w:val="left"/>
    </w:pPr>
    <w:rPr>
      <w:color w:val="auto"/>
    </w:rPr>
  </w:style>
  <w:style w:type="character" w:customStyle="1" w:styleId="fontstyle01">
    <w:name w:val="fontstyle01"/>
    <w:rPr>
      <w:rFonts w:ascii="Times-Roman" w:hAnsi="Times-Roman" w:hint="default"/>
      <w:color w:val="0D0D0D"/>
      <w:sz w:val="18"/>
      <w:szCs w:val="18"/>
    </w:rPr>
  </w:style>
  <w:style w:type="character" w:customStyle="1" w:styleId="CharacterStyle4">
    <w:name w:val="Character Style 4"/>
    <w:uiPriority w:val="99"/>
    <w:rPr>
      <w:sz w:val="23"/>
    </w:rPr>
  </w:style>
  <w:style w:type="table" w:customStyle="1" w:styleId="GridTable1Light-Accent21">
    <w:name w:val="Grid Table 1 Light - Accent 21"/>
    <w:basedOn w:val="TableNormal"/>
    <w:uiPriority w:val="46"/>
    <w:rPr>
      <w:rFonts w:ascii="Calibri" w:eastAsia="Times New Roman" w:hAnsi="Calibri" w:cs="Arial"/>
      <w:sz w:val="22"/>
      <w:szCs w:val="22"/>
    </w:rPr>
    <w:tblPr>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customStyle="1" w:styleId="Affiliation">
    <w:name w:val="Affiliation"/>
    <w:basedOn w:val="Normal"/>
    <w:uiPriority w:val="99"/>
    <w:qFormat/>
    <w:pPr>
      <w:spacing w:before="240" w:line="360" w:lineRule="auto"/>
      <w:ind w:left="0" w:firstLine="0"/>
      <w:jc w:val="left"/>
    </w:pPr>
    <w:rPr>
      <w:i/>
      <w:color w:val="auto"/>
      <w:lang w:val="en-GB" w:eastAsia="en-GB"/>
    </w:rPr>
  </w:style>
  <w:style w:type="paragraph" w:customStyle="1" w:styleId="story-body-text">
    <w:name w:val="story-body-text"/>
    <w:basedOn w:val="Normal"/>
    <w:pPr>
      <w:spacing w:before="100" w:beforeAutospacing="1" w:after="100" w:afterAutospacing="1"/>
      <w:ind w:left="0" w:firstLine="0"/>
      <w:jc w:val="left"/>
    </w:pPr>
    <w:rPr>
      <w:color w:val="auto"/>
    </w:rPr>
  </w:style>
  <w:style w:type="character" w:customStyle="1" w:styleId="apple-converted-space">
    <w:name w:val="apple-converted-space"/>
    <w:basedOn w:val="DefaultParagraphFont"/>
  </w:style>
  <w:style w:type="character" w:customStyle="1" w:styleId="FootnoteTextChar">
    <w:name w:val="Footnote Text Char"/>
    <w:link w:val="FootnoteText"/>
    <w:uiPriority w:val="99"/>
    <w:qFormat/>
    <w:rPr>
      <w:rFonts w:eastAsia="Calibri"/>
      <w:color w:val="auto"/>
      <w:sz w:val="20"/>
      <w:szCs w:val="20"/>
      <w:lang w:val="en-MY"/>
    </w:rPr>
  </w:style>
  <w:style w:type="character" w:customStyle="1" w:styleId="CaptionChar">
    <w:name w:val="Caption Char"/>
    <w:link w:val="Caption"/>
    <w:uiPriority w:val="35"/>
    <w:locked/>
    <w:rPr>
      <w:rFonts w:ascii="Calibri" w:eastAsia="MS Mincho" w:hAnsi="Calibri"/>
      <w:b/>
      <w:bCs/>
      <w:color w:val="auto"/>
      <w:sz w:val="24"/>
      <w:szCs w:val="20"/>
      <w:lang w:val="en-AU" w:eastAsia="ja-JP"/>
    </w:rPr>
  </w:style>
  <w:style w:type="paragraph" w:customStyle="1" w:styleId="Abstract">
    <w:name w:val="Abstract"/>
    <w:basedOn w:val="Normal"/>
    <w:next w:val="Keywords"/>
    <w:qFormat/>
    <w:pPr>
      <w:spacing w:before="360" w:after="300" w:line="360" w:lineRule="auto"/>
      <w:ind w:left="720" w:right="567" w:firstLine="0"/>
      <w:jc w:val="left"/>
    </w:pPr>
    <w:rPr>
      <w:color w:val="auto"/>
      <w:sz w:val="22"/>
      <w:lang w:val="en-GB" w:eastAsia="en-GB"/>
    </w:rPr>
  </w:style>
  <w:style w:type="paragraph" w:customStyle="1" w:styleId="Keywords">
    <w:name w:val="Keywords"/>
    <w:basedOn w:val="Normal"/>
    <w:next w:val="Normal"/>
    <w:qFormat/>
    <w:pPr>
      <w:spacing w:before="240" w:after="240" w:line="360" w:lineRule="auto"/>
      <w:ind w:left="720" w:right="567" w:firstLine="0"/>
      <w:jc w:val="left"/>
    </w:pPr>
    <w:rPr>
      <w:color w:val="auto"/>
      <w:sz w:val="22"/>
      <w:lang w:val="en-GB" w:eastAsia="en-GB"/>
    </w:rPr>
  </w:style>
  <w:style w:type="paragraph" w:customStyle="1" w:styleId="Paragraph">
    <w:name w:val="Paragraph"/>
    <w:basedOn w:val="Normal"/>
    <w:next w:val="Newparagraph"/>
    <w:qFormat/>
    <w:pPr>
      <w:widowControl w:val="0"/>
      <w:spacing w:before="240" w:line="480" w:lineRule="auto"/>
      <w:ind w:left="0" w:firstLine="0"/>
      <w:jc w:val="left"/>
    </w:pPr>
    <w:rPr>
      <w:color w:val="auto"/>
      <w:lang w:val="en-GB" w:eastAsia="en-GB"/>
    </w:rPr>
  </w:style>
  <w:style w:type="paragraph" w:customStyle="1" w:styleId="Newparagraph">
    <w:name w:val="New paragraph"/>
    <w:basedOn w:val="Normal"/>
    <w:qFormat/>
    <w:pPr>
      <w:spacing w:line="480" w:lineRule="auto"/>
      <w:ind w:left="0" w:firstLine="720"/>
      <w:jc w:val="left"/>
    </w:pPr>
    <w:rPr>
      <w:color w:val="auto"/>
      <w:lang w:val="en-GB" w:eastAsia="en-GB"/>
    </w:rPr>
  </w:style>
  <w:style w:type="paragraph" w:customStyle="1" w:styleId="Standard">
    <w:name w:val="Standard"/>
    <w:pPr>
      <w:widowControl w:val="0"/>
      <w:suppressAutoHyphens/>
      <w:autoSpaceDN w:val="0"/>
    </w:pPr>
    <w:rPr>
      <w:rFonts w:eastAsia="Arial Unicode MS" w:cs="Arial Unicode MS"/>
      <w:kern w:val="3"/>
      <w:sz w:val="24"/>
      <w:szCs w:val="24"/>
      <w:lang w:val="en-GB" w:eastAsia="zh-CN" w:bidi="hi-IN"/>
    </w:rPr>
  </w:style>
  <w:style w:type="table" w:customStyle="1" w:styleId="ListTable6Colorful1">
    <w:name w:val="List Table 6 Colorful1"/>
    <w:basedOn w:val="TableNormal"/>
    <w:uiPriority w:val="51"/>
    <w:rPr>
      <w:rFonts w:ascii="Calibri" w:hAnsi="Calibri" w:cs="Arial"/>
      <w:color w:val="000000"/>
      <w:sz w:val="22"/>
      <w:szCs w:val="22"/>
    </w:rPr>
    <w:tblPr>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ghlight">
    <w:name w:val="highlight"/>
    <w:basedOn w:val="DefaultParagraphFont"/>
  </w:style>
  <w:style w:type="character" w:customStyle="1" w:styleId="span-break">
    <w:name w:val="span-break"/>
    <w:basedOn w:val="DefaultParagraphFont"/>
  </w:style>
  <w:style w:type="character" w:customStyle="1" w:styleId="year">
    <w:name w:val="year"/>
    <w:basedOn w:val="DefaultParagraphFont"/>
  </w:style>
  <w:style w:type="character" w:customStyle="1" w:styleId="go">
    <w:name w:val="go"/>
    <w:basedOn w:val="DefaultParagraphFont"/>
  </w:style>
  <w:style w:type="table" w:customStyle="1" w:styleId="LightList1">
    <w:name w:val="Light List1"/>
    <w:basedOn w:val="TableNormal"/>
    <w:uiPriority w:val="61"/>
    <w:rPr>
      <w:rFonts w:ascii="Calibri" w:hAnsi="Calibri" w:cs="Arial"/>
      <w:sz w:val="22"/>
      <w:szCs w:val="22"/>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
    <w:name w:val="Table Grid Light1"/>
    <w:basedOn w:val="TableNormal"/>
    <w:uiPriority w:val="40"/>
    <w:rPr>
      <w:rFonts w:ascii="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OYASUB">
    <w:name w:val="OYA SUB"/>
    <w:basedOn w:val="Heading2"/>
    <w:link w:val="OYASUBChar"/>
    <w:qFormat/>
    <w:pPr>
      <w:keepNext w:val="0"/>
      <w:keepLines w:val="0"/>
      <w:spacing w:before="0" w:line="360" w:lineRule="auto"/>
      <w:ind w:left="0" w:firstLine="0"/>
    </w:pPr>
    <w:rPr>
      <w:rFonts w:ascii="Times New Roman" w:hAnsi="Times New Roman"/>
      <w:color w:val="000000"/>
      <w:sz w:val="24"/>
      <w:szCs w:val="22"/>
    </w:rPr>
  </w:style>
  <w:style w:type="character" w:customStyle="1" w:styleId="OYASUBChar">
    <w:name w:val="OYA SUB Char"/>
    <w:link w:val="OYASUB"/>
    <w:rPr>
      <w:rFonts w:eastAsia="Times New Roman"/>
      <w:b/>
      <w:bCs/>
      <w:color w:val="000000"/>
      <w:sz w:val="24"/>
      <w:szCs w:val="22"/>
    </w:rPr>
  </w:style>
  <w:style w:type="paragraph" w:customStyle="1" w:styleId="Chap2heading">
    <w:name w:val="Chap2 heading"/>
    <w:basedOn w:val="Heading2"/>
    <w:link w:val="Chap2headingChar"/>
    <w:qFormat/>
    <w:pPr>
      <w:spacing w:before="40" w:line="480" w:lineRule="auto"/>
      <w:ind w:left="0" w:firstLine="0"/>
      <w:jc w:val="left"/>
    </w:pPr>
    <w:rPr>
      <w:rFonts w:ascii="Times New Roman" w:hAnsi="Times New Roman"/>
      <w:bCs w:val="0"/>
      <w:color w:val="000000"/>
      <w:sz w:val="24"/>
    </w:rPr>
  </w:style>
  <w:style w:type="character" w:customStyle="1" w:styleId="Chap2headingChar">
    <w:name w:val="Chap2 heading Char"/>
    <w:link w:val="Chap2heading"/>
    <w:rPr>
      <w:rFonts w:eastAsia="Times New Roman" w:cs="Times New Roman"/>
      <w:b/>
      <w:color w:val="000000"/>
      <w:sz w:val="24"/>
      <w:szCs w:val="26"/>
    </w:rPr>
  </w:style>
  <w:style w:type="character" w:customStyle="1" w:styleId="A7">
    <w:name w:val="A7"/>
    <w:uiPriority w:val="99"/>
    <w:rPr>
      <w:color w:val="000000"/>
      <w:sz w:val="22"/>
      <w:szCs w:val="22"/>
    </w:rPr>
  </w:style>
  <w:style w:type="table" w:customStyle="1" w:styleId="PlainTable22">
    <w:name w:val="Plain Table 22"/>
    <w:basedOn w:val="TableNormal"/>
    <w:uiPriority w:val="42"/>
    <w:rPr>
      <w:rFonts w:ascii="Calibri" w:hAnsi="Calibri" w:cs="Arial"/>
      <w:sz w:val="22"/>
      <w:szCs w:val="22"/>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
    <w:name w:val="Plain Table 21"/>
    <w:basedOn w:val="TableNormal"/>
    <w:uiPriority w:val="42"/>
    <w:rPr>
      <w:rFonts w:ascii="Calibri" w:hAnsi="Calibri" w:cs="Arial"/>
      <w:sz w:val="22"/>
      <w:szCs w:val="22"/>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1">
    <w:name w:val="Unresolved Mention1"/>
    <w:uiPriority w:val="99"/>
    <w:unhideWhenUsed/>
    <w:rPr>
      <w:color w:val="605E5C"/>
      <w:shd w:val="clear" w:color="auto" w:fill="E1DFDD"/>
    </w:rPr>
  </w:style>
  <w:style w:type="character" w:customStyle="1" w:styleId="locality">
    <w:name w:val="locality"/>
    <w:basedOn w:val="DefaultParagraphFont"/>
  </w:style>
  <w:style w:type="character" w:customStyle="1" w:styleId="date-display-single">
    <w:name w:val="date-display-single"/>
    <w:basedOn w:val="DefaultParagraphFont"/>
  </w:style>
  <w:style w:type="paragraph" w:customStyle="1" w:styleId="Pa0">
    <w:name w:val="Pa0"/>
    <w:basedOn w:val="Normal"/>
    <w:next w:val="Normal"/>
    <w:uiPriority w:val="99"/>
    <w:pPr>
      <w:autoSpaceDE w:val="0"/>
      <w:autoSpaceDN w:val="0"/>
      <w:adjustRightInd w:val="0"/>
      <w:spacing w:line="201" w:lineRule="atLeast"/>
      <w:ind w:left="0" w:firstLine="0"/>
      <w:jc w:val="left"/>
    </w:pPr>
    <w:rPr>
      <w:rFonts w:ascii="Adobe Garamond Pro" w:eastAsia="Calibri" w:hAnsi="Adobe Garamond Pro" w:cs="Arial"/>
      <w:color w:val="auto"/>
      <w:lang w:val="nl-NL"/>
    </w:rPr>
  </w:style>
  <w:style w:type="character" w:customStyle="1" w:styleId="A1">
    <w:name w:val="A1"/>
    <w:uiPriority w:val="99"/>
    <w:rPr>
      <w:rFonts w:cs="Adobe Garamond Pro"/>
      <w:color w:val="000000"/>
      <w:sz w:val="22"/>
      <w:szCs w:val="22"/>
    </w:rPr>
  </w:style>
  <w:style w:type="character" w:customStyle="1" w:styleId="A2">
    <w:name w:val="A2"/>
    <w:uiPriority w:val="99"/>
    <w:rPr>
      <w:rFonts w:cs="Adobe Garamond Pro"/>
      <w:color w:val="000000"/>
      <w:sz w:val="16"/>
      <w:szCs w:val="16"/>
    </w:rPr>
  </w:style>
  <w:style w:type="character" w:customStyle="1" w:styleId="A3">
    <w:name w:val="A3"/>
    <w:uiPriority w:val="99"/>
    <w:rPr>
      <w:rFonts w:cs="Adobe Garamond Pro"/>
      <w:color w:val="000000"/>
      <w:sz w:val="12"/>
      <w:szCs w:val="12"/>
    </w:rPr>
  </w:style>
  <w:style w:type="character" w:customStyle="1" w:styleId="BodyTextIndentChar">
    <w:name w:val="Body Text Indent Char"/>
    <w:link w:val="BodyTextIndent"/>
    <w:rPr>
      <w:rFonts w:eastAsia="Times New Roman"/>
      <w:color w:val="auto"/>
      <w:sz w:val="24"/>
      <w:szCs w:val="24"/>
      <w:lang w:eastAsia="en-GB" w:bidi="he-IL"/>
    </w:rPr>
  </w:style>
  <w:style w:type="character" w:customStyle="1" w:styleId="tgc">
    <w:name w:val="_tgc"/>
    <w:basedOn w:val="DefaultParagraphFont"/>
  </w:style>
  <w:style w:type="character" w:customStyle="1" w:styleId="BodyTextChar">
    <w:name w:val="Body Text Char"/>
    <w:link w:val="BodyText"/>
    <w:uiPriority w:val="1"/>
    <w:rPr>
      <w:rFonts w:eastAsia="Times New Roman"/>
      <w:sz w:val="24"/>
      <w:szCs w:val="24"/>
    </w:rPr>
  </w:style>
  <w:style w:type="character" w:customStyle="1" w:styleId="o2address">
    <w:name w:val="o2address"/>
    <w:uiPriority w:val="99"/>
    <w:rPr>
      <w:rFonts w:cs="Times New Roman"/>
    </w:rPr>
  </w:style>
  <w:style w:type="paragraph" w:customStyle="1" w:styleId="Table-title">
    <w:name w:val="Table - title"/>
    <w:basedOn w:val="Normal"/>
    <w:link w:val="Table-titleZnak"/>
    <w:qFormat/>
    <w:pPr>
      <w:spacing w:before="240"/>
      <w:ind w:left="0" w:firstLine="0"/>
      <w:jc w:val="left"/>
    </w:pPr>
    <w:rPr>
      <w:rFonts w:ascii="Calibri" w:eastAsia="Calibri" w:hAnsi="Calibri"/>
      <w:b/>
      <w:color w:val="auto"/>
      <w:sz w:val="18"/>
      <w:szCs w:val="18"/>
      <w:lang w:val="en-GB"/>
    </w:rPr>
  </w:style>
  <w:style w:type="character" w:customStyle="1" w:styleId="Table-titleZnak">
    <w:name w:val="Table - title Znak"/>
    <w:link w:val="Table-title"/>
    <w:rPr>
      <w:rFonts w:ascii="Calibri" w:eastAsia="Calibri" w:hAnsi="Calibri"/>
      <w:b/>
      <w:color w:val="auto"/>
      <w:sz w:val="18"/>
      <w:szCs w:val="18"/>
      <w:lang w:val="en-GB"/>
    </w:rPr>
  </w:style>
  <w:style w:type="paragraph" w:customStyle="1" w:styleId="Figure-title">
    <w:name w:val="Figure - title"/>
    <w:basedOn w:val="Normal"/>
    <w:link w:val="Figure-titleZnak"/>
    <w:qFormat/>
    <w:pPr>
      <w:spacing w:before="120"/>
      <w:ind w:left="0" w:firstLine="0"/>
      <w:jc w:val="center"/>
    </w:pPr>
    <w:rPr>
      <w:rFonts w:ascii="Calibri" w:eastAsia="Calibri" w:hAnsi="Calibri"/>
      <w:b/>
      <w:color w:val="auto"/>
      <w:sz w:val="18"/>
      <w:szCs w:val="18"/>
      <w:lang w:val="en-GB"/>
    </w:rPr>
  </w:style>
  <w:style w:type="character" w:customStyle="1" w:styleId="Figure-titleZnak">
    <w:name w:val="Figure - title Znak"/>
    <w:link w:val="Figure-title"/>
    <w:rPr>
      <w:rFonts w:ascii="Calibri" w:eastAsia="Calibri" w:hAnsi="Calibri"/>
      <w:b/>
      <w:color w:val="auto"/>
      <w:sz w:val="18"/>
      <w:szCs w:val="18"/>
      <w:lang w:val="en-GB"/>
    </w:rPr>
  </w:style>
  <w:style w:type="paragraph" w:customStyle="1" w:styleId="Table-source">
    <w:name w:val="Table - source"/>
    <w:basedOn w:val="Normal"/>
    <w:link w:val="Table-sourceZnak"/>
    <w:qFormat/>
    <w:pPr>
      <w:spacing w:after="240"/>
      <w:ind w:left="0" w:firstLine="0"/>
      <w:jc w:val="left"/>
    </w:pPr>
    <w:rPr>
      <w:rFonts w:ascii="Calibri" w:eastAsia="Calibri" w:hAnsi="Calibri"/>
      <w:color w:val="auto"/>
      <w:sz w:val="16"/>
      <w:szCs w:val="16"/>
      <w:lang w:val="en-GB"/>
    </w:rPr>
  </w:style>
  <w:style w:type="character" w:customStyle="1" w:styleId="Table-sourceZnak">
    <w:name w:val="Table - source Znak"/>
    <w:link w:val="Table-source"/>
    <w:rPr>
      <w:rFonts w:ascii="Calibri" w:eastAsia="Calibri" w:hAnsi="Calibri"/>
      <w:color w:val="auto"/>
      <w:lang w:val="en-GB"/>
    </w:rPr>
  </w:style>
  <w:style w:type="paragraph" w:customStyle="1" w:styleId="Figure-source">
    <w:name w:val="Figure - source"/>
    <w:basedOn w:val="Table-source"/>
    <w:link w:val="Figure-sourceZnak"/>
    <w:qFormat/>
  </w:style>
  <w:style w:type="character" w:customStyle="1" w:styleId="Figure-sourceZnak">
    <w:name w:val="Figure - source Znak"/>
    <w:link w:val="Figure-source"/>
    <w:rPr>
      <w:rFonts w:ascii="Calibri" w:eastAsia="Calibri" w:hAnsi="Calibri"/>
      <w:color w:val="auto"/>
      <w:lang w:val="en-GB"/>
    </w:rPr>
  </w:style>
  <w:style w:type="paragraph" w:customStyle="1" w:styleId="1Akapit">
    <w:name w:val="1.Akapit"/>
    <w:basedOn w:val="Normal"/>
    <w:link w:val="1AkapitZnak"/>
    <w:qFormat/>
    <w:pPr>
      <w:ind w:left="0" w:firstLine="340"/>
    </w:pPr>
    <w:rPr>
      <w:rFonts w:ascii="Calibri" w:eastAsia="Calibri" w:hAnsi="Calibri"/>
      <w:color w:val="auto"/>
      <w:sz w:val="20"/>
      <w:szCs w:val="20"/>
      <w:lang w:val="en-GB"/>
    </w:rPr>
  </w:style>
  <w:style w:type="character" w:customStyle="1" w:styleId="1AkapitZnak">
    <w:name w:val="1.Akapit Znak"/>
    <w:link w:val="1Akapit"/>
    <w:rPr>
      <w:rFonts w:ascii="Calibri" w:eastAsia="Calibri" w:hAnsi="Calibri"/>
      <w:color w:val="auto"/>
      <w:sz w:val="20"/>
      <w:szCs w:val="20"/>
      <w:lang w:val="en-GB"/>
    </w:rPr>
  </w:style>
  <w:style w:type="character" w:customStyle="1" w:styleId="gt-baf-base">
    <w:name w:val="gt-baf-base"/>
    <w:uiPriority w:val="99"/>
    <w:rPr>
      <w:rFonts w:ascii="Times New Roman" w:hAnsi="Times New Roman" w:cs="Times New Roman" w:hint="default"/>
    </w:rPr>
  </w:style>
  <w:style w:type="paragraph" w:customStyle="1" w:styleId="EBERtext">
    <w:name w:val="EBER text"/>
    <w:basedOn w:val="Normal"/>
    <w:link w:val="EBERtextChar"/>
    <w:uiPriority w:val="99"/>
    <w:pPr>
      <w:ind w:left="0" w:firstLine="284"/>
    </w:pPr>
    <w:rPr>
      <w:rFonts w:ascii="Calibri" w:hAnsi="Calibri"/>
      <w:color w:val="auto"/>
      <w:sz w:val="20"/>
      <w:szCs w:val="20"/>
      <w:lang w:val="en-GB"/>
    </w:rPr>
  </w:style>
  <w:style w:type="character" w:customStyle="1" w:styleId="EBERtextChar">
    <w:name w:val="EBER text Char"/>
    <w:link w:val="EBERtext"/>
    <w:uiPriority w:val="99"/>
    <w:locked/>
    <w:rPr>
      <w:rFonts w:ascii="Calibri" w:eastAsia="Times New Roman" w:hAnsi="Calibri"/>
      <w:color w:val="auto"/>
      <w:sz w:val="20"/>
      <w:szCs w:val="20"/>
      <w:lang w:val="en-GB"/>
    </w:rPr>
  </w:style>
  <w:style w:type="paragraph" w:customStyle="1" w:styleId="2Tytu-2">
    <w:name w:val="2.Tytuł-2"/>
    <w:basedOn w:val="Normal"/>
    <w:link w:val="2Tytu-2Znak"/>
    <w:qFormat/>
    <w:pPr>
      <w:spacing w:before="180" w:after="60"/>
      <w:ind w:left="0" w:firstLine="0"/>
      <w:jc w:val="center"/>
    </w:pPr>
    <w:rPr>
      <w:rFonts w:ascii="Calibri" w:eastAsia="Calibri" w:hAnsi="Calibri"/>
      <w:b/>
      <w:color w:val="auto"/>
      <w:sz w:val="20"/>
      <w:szCs w:val="20"/>
      <w:lang w:val="en-GB"/>
    </w:rPr>
  </w:style>
  <w:style w:type="character" w:customStyle="1" w:styleId="2Tytu-2Znak">
    <w:name w:val="2.Tytuł-2 Znak"/>
    <w:link w:val="2Tytu-2"/>
    <w:rPr>
      <w:rFonts w:ascii="Calibri" w:eastAsia="Calibri" w:hAnsi="Calibri"/>
      <w:b/>
      <w:color w:val="auto"/>
      <w:sz w:val="20"/>
      <w:szCs w:val="20"/>
      <w:lang w:val="en-GB"/>
    </w:rPr>
  </w:style>
  <w:style w:type="character" w:customStyle="1" w:styleId="AkapitZnak">
    <w:name w:val="Akapit Znak"/>
    <w:link w:val="Akapit"/>
    <w:locked/>
    <w:rPr>
      <w:lang w:val="en-GB"/>
    </w:rPr>
  </w:style>
  <w:style w:type="paragraph" w:customStyle="1" w:styleId="Akapit">
    <w:name w:val="Akapit"/>
    <w:basedOn w:val="Normal"/>
    <w:link w:val="AkapitZnak"/>
    <w:qFormat/>
    <w:pPr>
      <w:ind w:left="0" w:firstLine="340"/>
    </w:pPr>
    <w:rPr>
      <w:rFonts w:eastAsia="Calibri"/>
      <w:sz w:val="16"/>
      <w:szCs w:val="16"/>
      <w:lang w:val="en-GB"/>
    </w:rPr>
  </w:style>
  <w:style w:type="paragraph" w:customStyle="1" w:styleId="TableParagraph">
    <w:name w:val="Table Paragraph"/>
    <w:basedOn w:val="Normal"/>
    <w:uiPriority w:val="1"/>
    <w:qFormat/>
    <w:pPr>
      <w:widowControl w:val="0"/>
      <w:autoSpaceDE w:val="0"/>
      <w:autoSpaceDN w:val="0"/>
      <w:ind w:left="0" w:firstLine="0"/>
      <w:jc w:val="left"/>
    </w:pPr>
    <w:rPr>
      <w:color w:val="auto"/>
      <w:sz w:val="22"/>
      <w:szCs w:val="22"/>
      <w:lang w:bidi="en-US"/>
    </w:rPr>
  </w:style>
  <w:style w:type="character" w:customStyle="1" w:styleId="st">
    <w:name w:val="st"/>
    <w:basedOn w:val="DefaultParagraphFont"/>
  </w:style>
  <w:style w:type="character" w:customStyle="1" w:styleId="text12a">
    <w:name w:val="text12a"/>
    <w:basedOn w:val="DefaultParagraphFont"/>
  </w:style>
  <w:style w:type="paragraph" w:customStyle="1" w:styleId="cite-style-chicago">
    <w:name w:val="cite-style-chicago"/>
    <w:basedOn w:val="Normal"/>
    <w:pPr>
      <w:spacing w:before="100" w:beforeAutospacing="1" w:after="100" w:afterAutospacing="1"/>
      <w:ind w:left="0" w:firstLine="0"/>
      <w:jc w:val="left"/>
    </w:pPr>
    <w:rPr>
      <w:color w:val="auto"/>
    </w:rPr>
  </w:style>
  <w:style w:type="paragraph" w:customStyle="1" w:styleId="footnote">
    <w:name w:val="footnote"/>
    <w:basedOn w:val="Normal"/>
    <w:uiPriority w:val="99"/>
    <w:pPr>
      <w:spacing w:before="100" w:beforeAutospacing="1" w:after="100" w:afterAutospacing="1"/>
      <w:ind w:left="0" w:firstLine="0"/>
      <w:jc w:val="left"/>
    </w:pPr>
    <w:rPr>
      <w:color w:val="auto"/>
    </w:rPr>
  </w:style>
  <w:style w:type="paragraph" w:customStyle="1" w:styleId="cite-short-paragraph">
    <w:name w:val="cite-short-paragraph"/>
    <w:basedOn w:val="Normal"/>
    <w:pPr>
      <w:spacing w:before="100" w:beforeAutospacing="1" w:after="100" w:afterAutospacing="1"/>
      <w:ind w:left="0" w:firstLine="0"/>
      <w:jc w:val="left"/>
    </w:pPr>
    <w:rPr>
      <w:color w:val="auto"/>
    </w:rPr>
  </w:style>
  <w:style w:type="character" w:customStyle="1" w:styleId="nlmarticle-title">
    <w:name w:val="nlm_article-title"/>
    <w:basedOn w:val="DefaultParagraphFont"/>
  </w:style>
  <w:style w:type="paragraph" w:customStyle="1" w:styleId="FigureTitle">
    <w:name w:val="Figure Title"/>
    <w:basedOn w:val="Normal"/>
    <w:qFormat/>
    <w:pPr>
      <w:spacing w:before="240" w:after="480"/>
      <w:ind w:left="0" w:firstLine="0"/>
      <w:jc w:val="left"/>
    </w:pPr>
    <w:rPr>
      <w:rFonts w:eastAsia="Calibri"/>
      <w:bCs/>
      <w:i/>
      <w:color w:val="auto"/>
      <w:lang w:val="en-GB"/>
    </w:rPr>
  </w:style>
  <w:style w:type="character" w:customStyle="1" w:styleId="hlfld-contribauthor">
    <w:name w:val="hlfld-contribauthor"/>
    <w:basedOn w:val="DefaultParagraphFont"/>
  </w:style>
  <w:style w:type="character" w:customStyle="1" w:styleId="nlmgiven-names">
    <w:name w:val="nlm_given-names"/>
    <w:basedOn w:val="DefaultParagraphFont"/>
  </w:style>
  <w:style w:type="character" w:customStyle="1" w:styleId="nlmconf-name">
    <w:name w:val="nlm_conf-name"/>
    <w:basedOn w:val="DefaultParagraphFont"/>
  </w:style>
  <w:style w:type="character" w:customStyle="1" w:styleId="nlmconf-loc">
    <w:name w:val="nlm_conf-loc"/>
    <w:basedOn w:val="DefaultParagraphFont"/>
  </w:style>
  <w:style w:type="character" w:customStyle="1" w:styleId="nlmpublisher-name">
    <w:name w:val="nlm_publisher-name"/>
    <w:basedOn w:val="DefaultParagraphFont"/>
  </w:style>
  <w:style w:type="table" w:customStyle="1" w:styleId="GridTable2-Accent11">
    <w:name w:val="Grid Table 2 - Accent 11"/>
    <w:basedOn w:val="TableNormal"/>
    <w:uiPriority w:val="47"/>
    <w:rPr>
      <w:rFonts w:ascii="Calibri" w:hAnsi="Calibri" w:cs="Arial"/>
      <w:sz w:val="22"/>
      <w:szCs w:val="22"/>
    </w:rPr>
    <w:tblPr>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PER">
    <w:name w:val="PAPER"/>
    <w:basedOn w:val="Normal"/>
    <w:link w:val="PAPERChar"/>
    <w:qFormat/>
    <w:pPr>
      <w:spacing w:line="360" w:lineRule="auto"/>
      <w:ind w:left="0" w:firstLine="0"/>
    </w:pPr>
    <w:rPr>
      <w:szCs w:val="22"/>
    </w:rPr>
  </w:style>
  <w:style w:type="character" w:customStyle="1" w:styleId="PAPERChar">
    <w:name w:val="PAPER Char"/>
    <w:link w:val="PAPER"/>
    <w:rPr>
      <w:rFonts w:eastAsia="Times New Roman"/>
      <w:sz w:val="24"/>
      <w:szCs w:val="22"/>
    </w:rPr>
  </w:style>
  <w:style w:type="character" w:customStyle="1" w:styleId="nlmstring-name">
    <w:name w:val="nlm_string-name"/>
    <w:basedOn w:val="DefaultParagraphFont"/>
  </w:style>
  <w:style w:type="character" w:customStyle="1" w:styleId="nlmyear">
    <w:name w:val="nlm_year"/>
    <w:basedOn w:val="DefaultParagraphFont"/>
  </w:style>
  <w:style w:type="character" w:customStyle="1" w:styleId="nlmpublisher-loc">
    <w:name w:val="nlm_publisher-loc"/>
    <w:basedOn w:val="DefaultParagraphFont"/>
  </w:style>
  <w:style w:type="table" w:customStyle="1" w:styleId="TableGrid1">
    <w:name w:val="Table Grid1"/>
    <w:basedOn w:val="TableNormal"/>
    <w:uiPriority w:val="39"/>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MAbstract">
    <w:name w:val="JOM Abstract"/>
    <w:basedOn w:val="Normal"/>
    <w:qFormat/>
    <w:pPr>
      <w:spacing w:before="240"/>
      <w:ind w:left="247" w:right="301" w:firstLine="0"/>
    </w:pPr>
    <w:rPr>
      <w:rFonts w:ascii="Garamond" w:eastAsia="Calibri" w:hAnsi="Garamond" w:cs="Arial"/>
      <w:color w:val="auto"/>
      <w:szCs w:val="22"/>
    </w:rPr>
  </w:style>
  <w:style w:type="paragraph" w:customStyle="1" w:styleId="JOMBL">
    <w:name w:val="JOM BL"/>
    <w:basedOn w:val="Normal"/>
    <w:next w:val="JOMBodyText"/>
    <w:qFormat/>
    <w:pPr>
      <w:numPr>
        <w:numId w:val="3"/>
      </w:numPr>
      <w:spacing w:after="40" w:line="259" w:lineRule="auto"/>
      <w:jc w:val="left"/>
    </w:pPr>
    <w:rPr>
      <w:rFonts w:ascii="Garamond" w:eastAsia="Calibri" w:hAnsi="Garamond" w:cs="Arial"/>
      <w:iCs/>
      <w:color w:val="auto"/>
      <w:szCs w:val="22"/>
    </w:rPr>
  </w:style>
  <w:style w:type="paragraph" w:customStyle="1" w:styleId="JOMBodyText">
    <w:name w:val="JOM Body Text"/>
    <w:basedOn w:val="Normal"/>
    <w:qFormat/>
    <w:pPr>
      <w:spacing w:after="160"/>
      <w:ind w:left="0" w:firstLine="0"/>
    </w:pPr>
    <w:rPr>
      <w:rFonts w:ascii="Garamond" w:eastAsia="Calibri" w:hAnsi="Garamond" w:cs="Arial"/>
      <w:color w:val="auto"/>
      <w:szCs w:val="22"/>
    </w:rPr>
  </w:style>
  <w:style w:type="paragraph" w:customStyle="1" w:styleId="JOMTableCaption">
    <w:name w:val="JOM Table Caption"/>
    <w:basedOn w:val="Normal"/>
    <w:qFormat/>
    <w:pPr>
      <w:keepNext/>
      <w:ind w:left="0" w:firstLine="0"/>
      <w:jc w:val="left"/>
    </w:pPr>
    <w:rPr>
      <w:rFonts w:ascii="Garamond" w:eastAsia="Calibri" w:hAnsi="Garamond" w:cs="Arial"/>
      <w:i/>
      <w:iCs/>
      <w:color w:val="auto"/>
      <w:szCs w:val="18"/>
    </w:rPr>
  </w:style>
  <w:style w:type="paragraph" w:customStyle="1" w:styleId="JOMTITLE">
    <w:name w:val="JOM TITLE"/>
    <w:basedOn w:val="Normal"/>
    <w:qFormat/>
    <w:pPr>
      <w:spacing w:after="160" w:line="276" w:lineRule="auto"/>
      <w:ind w:left="0" w:firstLine="0"/>
      <w:jc w:val="left"/>
    </w:pPr>
    <w:rPr>
      <w:rFonts w:ascii="Garamond" w:eastAsia="DejaVuSerif-Bold" w:hAnsi="Garamond" w:cs="DejaVuSerif-Bold"/>
      <w:b/>
      <w:bCs/>
      <w:color w:val="auto"/>
      <w:sz w:val="48"/>
      <w:szCs w:val="48"/>
    </w:rPr>
  </w:style>
  <w:style w:type="paragraph" w:customStyle="1" w:styleId="JOMAU">
    <w:name w:val="JOM AU"/>
    <w:basedOn w:val="Normal"/>
    <w:next w:val="JOMAbstract"/>
    <w:qFormat/>
    <w:pPr>
      <w:spacing w:before="240"/>
      <w:ind w:left="252" w:firstLine="0"/>
      <w:jc w:val="left"/>
    </w:pPr>
    <w:rPr>
      <w:rFonts w:ascii="Bookman Old Style" w:eastAsia="Calibri" w:hAnsi="Bookman Old Style" w:cs="Arial"/>
      <w:i/>
      <w:iCs/>
      <w:color w:val="auto"/>
    </w:rPr>
  </w:style>
  <w:style w:type="paragraph" w:customStyle="1" w:styleId="JOMH1">
    <w:name w:val="JOM H1"/>
    <w:basedOn w:val="Heading1"/>
    <w:next w:val="JOMBodyText"/>
    <w:link w:val="JOMH1Char"/>
    <w:qFormat/>
    <w:pPr>
      <w:spacing w:before="240" w:line="259" w:lineRule="auto"/>
      <w:jc w:val="left"/>
    </w:pPr>
    <w:rPr>
      <w:rFonts w:ascii="Garamond" w:hAnsi="Garamond"/>
      <w:color w:val="2E74B5"/>
      <w:sz w:val="32"/>
      <w:szCs w:val="32"/>
    </w:rPr>
  </w:style>
  <w:style w:type="character" w:customStyle="1" w:styleId="JOMH1Char">
    <w:name w:val="JOM H1 Char"/>
    <w:link w:val="JOMH1"/>
    <w:rPr>
      <w:rFonts w:ascii="Garamond" w:eastAsia="Arial" w:hAnsi="Garamond"/>
      <w:b/>
      <w:bCs/>
      <w:color w:val="2E74B5"/>
      <w:w w:val="115"/>
      <w:sz w:val="32"/>
      <w:szCs w:val="32"/>
      <w:lang w:val="en-GB"/>
    </w:rPr>
  </w:style>
  <w:style w:type="paragraph" w:customStyle="1" w:styleId="JOMH2">
    <w:name w:val="JOM H2"/>
    <w:basedOn w:val="JOMH1"/>
    <w:next w:val="JOMBodyText"/>
    <w:qFormat/>
  </w:style>
  <w:style w:type="paragraph" w:customStyle="1" w:styleId="JOMH3">
    <w:name w:val="JOM H3"/>
    <w:basedOn w:val="JOMH2"/>
    <w:next w:val="JOMBodyText"/>
    <w:qFormat/>
    <w:rPr>
      <w:i/>
      <w:sz w:val="24"/>
    </w:rPr>
  </w:style>
  <w:style w:type="character" w:customStyle="1" w:styleId="EndnoteTextChar">
    <w:name w:val="Endnote Text Char"/>
    <w:link w:val="EndnoteText"/>
    <w:uiPriority w:val="99"/>
    <w:semiHidden/>
    <w:rPr>
      <w:rFonts w:ascii="Calibri" w:eastAsia="Calibri" w:hAnsi="Calibri" w:cs="Arial"/>
      <w:sz w:val="20"/>
      <w:szCs w:val="20"/>
    </w:rPr>
  </w:style>
  <w:style w:type="character" w:customStyle="1" w:styleId="EndnoteTextChar1">
    <w:name w:val="Endnote Text Char1"/>
    <w:uiPriority w:val="99"/>
    <w:semiHidden/>
    <w:rPr>
      <w:rFonts w:eastAsia="Times New Roman"/>
      <w:sz w:val="20"/>
      <w:szCs w:val="20"/>
    </w:rPr>
  </w:style>
  <w:style w:type="paragraph" w:customStyle="1" w:styleId="JOMNL">
    <w:name w:val="JOM NL"/>
    <w:basedOn w:val="Normal"/>
    <w:next w:val="JOMBodyText"/>
    <w:qFormat/>
    <w:pPr>
      <w:numPr>
        <w:numId w:val="4"/>
      </w:numPr>
      <w:spacing w:after="160" w:line="259" w:lineRule="auto"/>
      <w:jc w:val="left"/>
    </w:pPr>
    <w:rPr>
      <w:rFonts w:ascii="Garamond" w:eastAsia="Calibri" w:hAnsi="Garamond" w:cs="Arial"/>
      <w:color w:val="auto"/>
      <w:szCs w:val="22"/>
    </w:rPr>
  </w:style>
  <w:style w:type="character" w:customStyle="1" w:styleId="LightShading-Accent2Char">
    <w:name w:val="Light Shading - Accent 2 Char"/>
    <w:uiPriority w:val="30"/>
    <w:rPr>
      <w:i/>
      <w:iCs/>
      <w:color w:val="5B9BD5"/>
      <w:sz w:val="22"/>
      <w:szCs w:val="22"/>
    </w:rPr>
  </w:style>
  <w:style w:type="character" w:customStyle="1" w:styleId="ColorfulGrid-Accent1Char">
    <w:name w:val="Colorful Grid - Accent 1 Char"/>
    <w:uiPriority w:val="29"/>
    <w:rPr>
      <w:i/>
      <w:iCs/>
      <w:color w:val="404040"/>
      <w:sz w:val="22"/>
      <w:szCs w:val="22"/>
    </w:rPr>
  </w:style>
  <w:style w:type="character" w:customStyle="1" w:styleId="unicode">
    <w:name w:val="unicode"/>
    <w:basedOn w:val="DefaultParagraphFont"/>
  </w:style>
  <w:style w:type="character" w:customStyle="1" w:styleId="BodyText2Char">
    <w:name w:val="Body Text 2 Char"/>
    <w:link w:val="BodyText2"/>
    <w:uiPriority w:val="99"/>
    <w:rPr>
      <w:rFonts w:ascii="Calibri" w:hAnsi="Calibri" w:cs="Arial"/>
      <w:color w:val="auto"/>
      <w:sz w:val="22"/>
      <w:szCs w:val="22"/>
    </w:rPr>
  </w:style>
  <w:style w:type="character" w:customStyle="1" w:styleId="UnresolvedMention2">
    <w:name w:val="Unresolved Mention2"/>
    <w:uiPriority w:val="99"/>
    <w:unhideWhenUsed/>
    <w:rPr>
      <w:color w:val="605E5C"/>
      <w:shd w:val="clear" w:color="auto" w:fill="E1DFDD"/>
    </w:rPr>
  </w:style>
  <w:style w:type="character" w:customStyle="1" w:styleId="authors">
    <w:name w:val="authors"/>
    <w:basedOn w:val="DefaultParagraphFont"/>
  </w:style>
  <w:style w:type="character" w:customStyle="1" w:styleId="Date1">
    <w:name w:val="Date1"/>
    <w:basedOn w:val="DefaultParagraphFont"/>
  </w:style>
  <w:style w:type="character" w:customStyle="1" w:styleId="arttitle">
    <w:name w:val="art_title"/>
    <w:basedOn w:val="DefaultParagraphFont"/>
  </w:style>
  <w:style w:type="character" w:customStyle="1" w:styleId="serialtitle">
    <w:name w:val="serial_title"/>
    <w:basedOn w:val="DefaultParagraphFont"/>
  </w:style>
  <w:style w:type="character" w:customStyle="1" w:styleId="volumeissue">
    <w:name w:val="volume_issue"/>
    <w:basedOn w:val="DefaultParagraphFont"/>
  </w:style>
  <w:style w:type="character" w:customStyle="1" w:styleId="pagerange">
    <w:name w:val="page_range"/>
    <w:basedOn w:val="DefaultParagraphFont"/>
  </w:style>
  <w:style w:type="paragraph" w:customStyle="1" w:styleId="Revision1">
    <w:name w:val="Revision1"/>
    <w:hidden/>
    <w:uiPriority w:val="99"/>
    <w:semiHidden/>
    <w:rPr>
      <w:rFonts w:ascii="Calibri" w:hAnsi="Calibri" w:cs="Arial"/>
      <w:sz w:val="22"/>
      <w:szCs w:val="22"/>
    </w:rPr>
  </w:style>
  <w:style w:type="paragraph" w:customStyle="1" w:styleId="Normal1">
    <w:name w:val="Normal1"/>
    <w:pPr>
      <w:spacing w:after="200" w:line="276" w:lineRule="auto"/>
    </w:pPr>
    <w:rPr>
      <w:rFonts w:ascii="Calibri" w:hAnsi="Calibri" w:cs="Calibri"/>
      <w:sz w:val="22"/>
      <w:szCs w:val="22"/>
    </w:rPr>
  </w:style>
  <w:style w:type="character" w:customStyle="1" w:styleId="UnresolvedMention3">
    <w:name w:val="Unresolved Mention3"/>
    <w:uiPriority w:val="99"/>
    <w:unhideWhenUsed/>
    <w:rPr>
      <w:color w:val="808080"/>
      <w:shd w:val="clear" w:color="auto" w:fill="E6E6E6"/>
    </w:rPr>
  </w:style>
  <w:style w:type="character" w:customStyle="1" w:styleId="text">
    <w:name w:val="text"/>
    <w:basedOn w:val="DefaultParagraphFont"/>
  </w:style>
  <w:style w:type="character" w:customStyle="1" w:styleId="anchor-text">
    <w:name w:val="anchor-text"/>
    <w:basedOn w:val="DefaultParagraphFont"/>
  </w:style>
  <w:style w:type="character" w:customStyle="1" w:styleId="UnresolvedMention4">
    <w:name w:val="Unresolved Mention4"/>
    <w:uiPriority w:val="99"/>
    <w:unhideWhenUsed/>
    <w:rPr>
      <w:color w:val="808080"/>
      <w:shd w:val="clear" w:color="auto" w:fill="E6E6E6"/>
    </w:rPr>
  </w:style>
  <w:style w:type="paragraph" w:customStyle="1" w:styleId="Normal2">
    <w:name w:val="Normal2"/>
    <w:pPr>
      <w:spacing w:after="200" w:line="276" w:lineRule="auto"/>
    </w:pPr>
    <w:rPr>
      <w:rFonts w:ascii="Calibri" w:hAnsi="Calibri" w:cs="Calibri"/>
      <w:sz w:val="22"/>
      <w:szCs w:val="22"/>
      <w:lang w:val="en-GB"/>
    </w:rPr>
  </w:style>
  <w:style w:type="paragraph" w:customStyle="1" w:styleId="Normal3">
    <w:name w:val="Normal3"/>
    <w:pPr>
      <w:spacing w:after="160" w:line="259" w:lineRule="auto"/>
    </w:pPr>
    <w:rPr>
      <w:rFonts w:ascii="Calibri" w:hAnsi="Calibri" w:cs="Calibri"/>
      <w:sz w:val="22"/>
      <w:szCs w:val="22"/>
    </w:rPr>
  </w:style>
  <w:style w:type="character" w:customStyle="1" w:styleId="HTMLPreformattedChar">
    <w:name w:val="HTML Preformatted Char"/>
    <w:link w:val="HTMLPreformatted"/>
    <w:uiPriority w:val="99"/>
    <w:qFormat/>
    <w:rPr>
      <w:rFonts w:ascii="Courier New" w:eastAsia="Times New Roman" w:hAnsi="Courier New" w:cs="Courier New"/>
      <w:color w:val="auto"/>
      <w:sz w:val="20"/>
      <w:szCs w:val="20"/>
    </w:rPr>
  </w:style>
  <w:style w:type="table" w:customStyle="1" w:styleId="LightShading4">
    <w:name w:val="Light Shading4"/>
    <w:basedOn w:val="TableNormal"/>
    <w:uiPriority w:val="60"/>
    <w:rPr>
      <w:rFonts w:ascii="Calibri" w:hAnsi="Calibri" w:cs="Arial"/>
      <w:color w:val="000000"/>
      <w:sz w:val="22"/>
      <w:szCs w:val="22"/>
    </w:rPr>
    <w:tblPr>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UnresolvedMention5">
    <w:name w:val="Unresolved Mention5"/>
    <w:uiPriority w:val="99"/>
    <w:semiHidden/>
    <w:unhideWhenUsed/>
    <w:rPr>
      <w:color w:val="605E5C"/>
      <w:shd w:val="clear" w:color="auto" w:fill="E1DFDD"/>
    </w:rPr>
  </w:style>
  <w:style w:type="paragraph" w:customStyle="1" w:styleId="Authornames">
    <w:name w:val="Author names"/>
    <w:basedOn w:val="Normal"/>
    <w:next w:val="Normal"/>
    <w:qFormat/>
    <w:pPr>
      <w:spacing w:before="240" w:line="360" w:lineRule="auto"/>
      <w:ind w:left="0" w:firstLine="0"/>
      <w:jc w:val="left"/>
    </w:pPr>
    <w:rPr>
      <w:color w:val="auto"/>
      <w:sz w:val="28"/>
      <w:lang w:val="en-GB" w:eastAsia="en-GB"/>
    </w:rPr>
  </w:style>
  <w:style w:type="character" w:customStyle="1" w:styleId="BodyText3Char">
    <w:name w:val="Body Text 3 Char"/>
    <w:link w:val="BodyText3"/>
    <w:rPr>
      <w:rFonts w:eastAsia="Times New Roman"/>
      <w:lang w:val="en-GB"/>
    </w:rPr>
  </w:style>
  <w:style w:type="character" w:customStyle="1" w:styleId="BodyText3Char1">
    <w:name w:val="Body Text 3 Char1"/>
    <w:uiPriority w:val="99"/>
    <w:semiHidden/>
    <w:rPr>
      <w:rFonts w:eastAsia="Times New Roman"/>
    </w:rPr>
  </w:style>
  <w:style w:type="character" w:customStyle="1" w:styleId="citationbook">
    <w:name w:val="citation book"/>
    <w:rPr>
      <w:rFonts w:ascii="Calibri" w:eastAsia="Calibri" w:hAnsi="Calibri" w:cs="Times New Roman"/>
    </w:rPr>
  </w:style>
  <w:style w:type="table" w:customStyle="1" w:styleId="MediumGrid31">
    <w:name w:val="Medium Grid 31"/>
    <w:basedOn w:val="TableNormal"/>
    <w:rPr>
      <w:rFonts w:ascii="Calibri" w:eastAsia="Calibri" w:hAnsi="Calibri"/>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paragraph" w:customStyle="1" w:styleId="ms-rtestyle-normal">
    <w:name w:val="ms-rtestyle-normal"/>
    <w:basedOn w:val="Normal"/>
    <w:pPr>
      <w:widowControl w:val="0"/>
      <w:autoSpaceDE w:val="0"/>
      <w:autoSpaceDN w:val="0"/>
      <w:adjustRightInd w:val="0"/>
      <w:spacing w:before="100" w:beforeAutospacing="1" w:after="100" w:afterAutospacing="1"/>
      <w:ind w:left="0" w:right="-14" w:firstLine="0"/>
    </w:pPr>
    <w:rPr>
      <w:spacing w:val="1"/>
    </w:rPr>
  </w:style>
  <w:style w:type="character" w:customStyle="1" w:styleId="contribdegrees">
    <w:name w:val="contribdegrees"/>
    <w:basedOn w:val="DefaultParagraphFont"/>
  </w:style>
  <w:style w:type="character" w:customStyle="1" w:styleId="authorname">
    <w:name w:val="authorname"/>
    <w:basedOn w:val="DefaultParagraphFont"/>
  </w:style>
  <w:style w:type="paragraph" w:customStyle="1" w:styleId="TableTitles">
    <w:name w:val="Table Titles"/>
    <w:basedOn w:val="Normal"/>
    <w:next w:val="Normal"/>
    <w:qFormat/>
    <w:pPr>
      <w:spacing w:before="240" w:line="360" w:lineRule="auto"/>
      <w:ind w:left="0" w:firstLine="0"/>
      <w:jc w:val="left"/>
    </w:pPr>
    <w:rPr>
      <w:color w:val="auto"/>
    </w:rPr>
  </w:style>
  <w:style w:type="character" w:customStyle="1" w:styleId="UnresolvedMention6">
    <w:name w:val="Unresolved Mention6"/>
    <w:uiPriority w:val="99"/>
    <w:unhideWhenUsed/>
    <w:rPr>
      <w:color w:val="605E5C"/>
      <w:shd w:val="clear" w:color="auto" w:fill="E1DFDD"/>
    </w:rPr>
  </w:style>
  <w:style w:type="character" w:customStyle="1" w:styleId="httpscovidgovpk">
    <w:name w:val="https://covid.gov.pk/"/>
    <w:basedOn w:val="DefaultParagraphFont"/>
  </w:style>
  <w:style w:type="character" w:customStyle="1" w:styleId="hgkelc">
    <w:name w:val="hgkelc"/>
    <w:basedOn w:val="DefaultParagraphFont"/>
  </w:style>
  <w:style w:type="character" w:customStyle="1" w:styleId="element-citation">
    <w:name w:val="element-citation"/>
    <w:basedOn w:val="DefaultParagraphFont"/>
  </w:style>
  <w:style w:type="table" w:customStyle="1" w:styleId="af4">
    <w:name w:val="af4"/>
    <w:basedOn w:val="TableNormal"/>
    <w:rPr>
      <w:rFonts w:ascii="Calibri" w:eastAsia="Calibri" w:hAnsi="Calibri" w:cs="Calibri"/>
      <w:sz w:val="22"/>
      <w:szCs w:val="22"/>
    </w:rPr>
    <w:tblPr>
      <w:tblCellMar>
        <w:left w:w="115" w:type="dxa"/>
        <w:right w:w="115" w:type="dxa"/>
      </w:tblCellMar>
    </w:tblPr>
  </w:style>
  <w:style w:type="table" w:customStyle="1" w:styleId="af5">
    <w:name w:val="af5"/>
    <w:basedOn w:val="TableNormal"/>
    <w:rPr>
      <w:rFonts w:ascii="Calibri" w:eastAsia="Calibri" w:hAnsi="Calibri" w:cs="Calibri"/>
      <w:sz w:val="22"/>
      <w:szCs w:val="22"/>
    </w:rPr>
    <w:tblPr>
      <w:tblCellMar>
        <w:left w:w="115" w:type="dxa"/>
        <w:right w:w="115" w:type="dxa"/>
      </w:tblCellMar>
    </w:tblPr>
  </w:style>
  <w:style w:type="character" w:customStyle="1" w:styleId="accordion-tabbedtab-mobile">
    <w:name w:val="accordion-tabbed__tab-mobile"/>
    <w:basedOn w:val="DefaultParagraphFont"/>
  </w:style>
  <w:style w:type="character" w:customStyle="1" w:styleId="comma-separator">
    <w:name w:val="comma-separator"/>
    <w:basedOn w:val="DefaultParagraphFont"/>
  </w:style>
  <w:style w:type="character" w:customStyle="1" w:styleId="gnkrckgcgsb">
    <w:name w:val="gnkrckgcgsb"/>
    <w:basedOn w:val="DefaultParagraphFont"/>
  </w:style>
  <w:style w:type="character" w:customStyle="1" w:styleId="gi">
    <w:name w:val="gi"/>
    <w:basedOn w:val="DefaultParagraphFont"/>
  </w:style>
  <w:style w:type="character" w:customStyle="1" w:styleId="al-author-name-more">
    <w:name w:val="al-author-name-more"/>
    <w:basedOn w:val="DefaultParagraphFont"/>
  </w:style>
  <w:style w:type="character" w:customStyle="1" w:styleId="delimiter">
    <w:name w:val="delimiter"/>
    <w:basedOn w:val="DefaultParagraphFont"/>
  </w:style>
  <w:style w:type="paragraph" w:customStyle="1" w:styleId="msonormal0">
    <w:name w:val="msonormal"/>
    <w:basedOn w:val="Normal"/>
    <w:pPr>
      <w:spacing w:before="100" w:beforeAutospacing="1" w:after="100" w:afterAutospacing="1"/>
      <w:ind w:left="0" w:firstLine="0"/>
      <w:jc w:val="left"/>
    </w:pPr>
    <w:rPr>
      <w:color w:val="auto"/>
    </w:rPr>
  </w:style>
  <w:style w:type="character" w:customStyle="1" w:styleId="va-m">
    <w:name w:val="va-m"/>
    <w:rPr>
      <w:rFonts w:cs="Times New Roman"/>
    </w:rPr>
  </w:style>
  <w:style w:type="paragraph" w:customStyle="1" w:styleId="Pa16">
    <w:name w:val="Pa16"/>
    <w:basedOn w:val="Default"/>
    <w:next w:val="Default"/>
    <w:uiPriority w:val="99"/>
    <w:pPr>
      <w:spacing w:line="181" w:lineRule="atLeast"/>
      <w:ind w:left="0" w:firstLine="0"/>
      <w:jc w:val="left"/>
    </w:pPr>
    <w:rPr>
      <w:rFonts w:ascii="Lato" w:hAnsi="Lato"/>
      <w:color w:val="auto"/>
    </w:rPr>
  </w:style>
  <w:style w:type="paragraph" w:customStyle="1" w:styleId="m5830135660393541924gmail-msolistparagraph">
    <w:name w:val="m_5830135660393541924gmail-msolistparagraph"/>
    <w:basedOn w:val="Normal"/>
    <w:pPr>
      <w:spacing w:before="100" w:beforeAutospacing="1" w:after="100" w:afterAutospacing="1"/>
      <w:ind w:left="0" w:firstLine="0"/>
      <w:jc w:val="left"/>
    </w:pPr>
    <w:rPr>
      <w:color w:val="auto"/>
    </w:rPr>
  </w:style>
  <w:style w:type="character" w:customStyle="1" w:styleId="doi">
    <w:name w:val="doi"/>
    <w:basedOn w:val="DefaultParagraphFont"/>
  </w:style>
  <w:style w:type="character" w:customStyle="1" w:styleId="addmd">
    <w:name w:val="addmd"/>
    <w:basedOn w:val="DefaultParagraphFont"/>
  </w:style>
  <w:style w:type="character" w:customStyle="1" w:styleId="fn">
    <w:name w:val="fn"/>
    <w:basedOn w:val="DefaultParagraphFont"/>
  </w:style>
  <w:style w:type="character" w:customStyle="1" w:styleId="Subtitle1">
    <w:name w:val="Subtitle1"/>
    <w:basedOn w:val="DefaultParagraphFont"/>
  </w:style>
  <w:style w:type="character" w:customStyle="1" w:styleId="markedcontent">
    <w:name w:val="markedcontent"/>
    <w:basedOn w:val="DefaultParagraphFont"/>
  </w:style>
  <w:style w:type="character" w:customStyle="1" w:styleId="PlainTextChar">
    <w:name w:val="Plain Text Char"/>
    <w:link w:val="PlainText"/>
    <w:uiPriority w:val="99"/>
    <w:rPr>
      <w:rFonts w:ascii="Courier New" w:eastAsia="Times New Roman" w:hAnsi="Courier New" w:cs="Courier New"/>
      <w:color w:val="auto"/>
      <w:sz w:val="20"/>
      <w:szCs w:val="20"/>
      <w:lang w:val="en-GB" w:bidi="ur-PK"/>
    </w:rPr>
  </w:style>
  <w:style w:type="character" w:customStyle="1" w:styleId="eop">
    <w:name w:val="eop"/>
  </w:style>
  <w:style w:type="paragraph" w:customStyle="1" w:styleId="story-excerpt">
    <w:name w:val="story-excerpt"/>
    <w:basedOn w:val="Normal"/>
    <w:pPr>
      <w:spacing w:before="100" w:beforeAutospacing="1" w:after="100" w:afterAutospacing="1"/>
      <w:ind w:left="0" w:firstLine="0"/>
      <w:jc w:val="left"/>
    </w:pPr>
    <w:rPr>
      <w:color w:val="auto"/>
    </w:rPr>
  </w:style>
  <w:style w:type="character" w:customStyle="1" w:styleId="fontstyle21">
    <w:name w:val="fontstyle21"/>
    <w:rPr>
      <w:rFonts w:ascii="Helvetica-Bold" w:hAnsi="Helvetica-Bold" w:hint="default"/>
      <w:b/>
      <w:bCs/>
      <w:color w:val="000000"/>
      <w:sz w:val="16"/>
      <w:szCs w:val="16"/>
    </w:rPr>
  </w:style>
  <w:style w:type="character" w:customStyle="1" w:styleId="fontstyle31">
    <w:name w:val="fontstyle31"/>
    <w:rPr>
      <w:rFonts w:ascii="Minion-Bold" w:hAnsi="Minion-Bold" w:hint="default"/>
      <w:b/>
      <w:bCs/>
      <w:color w:val="000000"/>
      <w:sz w:val="16"/>
      <w:szCs w:val="16"/>
    </w:rPr>
  </w:style>
  <w:style w:type="character" w:customStyle="1" w:styleId="fontstyle41">
    <w:name w:val="fontstyle41"/>
    <w:rPr>
      <w:rFonts w:ascii="AdvOT40514f85+20" w:hAnsi="AdvOT40514f85+20" w:hint="default"/>
      <w:color w:val="000000"/>
      <w:sz w:val="18"/>
      <w:szCs w:val="18"/>
    </w:rPr>
  </w:style>
  <w:style w:type="character" w:customStyle="1" w:styleId="doilink">
    <w:name w:val="doi_link"/>
    <w:basedOn w:val="DefaultParagraphFont"/>
  </w:style>
  <w:style w:type="character" w:customStyle="1" w:styleId="text-node">
    <w:name w:val="text-node"/>
    <w:basedOn w:val="DefaultParagraphFont"/>
  </w:style>
  <w:style w:type="table" w:customStyle="1" w:styleId="ListTable6Colorful2">
    <w:name w:val="List Table 6 Colorful2"/>
    <w:basedOn w:val="TableNormal"/>
    <w:uiPriority w:val="51"/>
    <w:rPr>
      <w:rFonts w:ascii="Calibri" w:hAnsi="Calibri" w:cs="Arial"/>
      <w:color w:val="000000"/>
      <w:sz w:val="22"/>
      <w:szCs w:val="22"/>
    </w:rPr>
    <w:tblPr>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3">
    <w:name w:val="Plain Table 23"/>
    <w:basedOn w:val="TableNormal"/>
    <w:uiPriority w:val="42"/>
    <w:rPr>
      <w:rFonts w:ascii="Calibri" w:hAnsi="Calibri" w:cs="Arial"/>
      <w:sz w:val="22"/>
      <w:szCs w:val="22"/>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enn">
    <w:name w:val="en_n"/>
    <w:basedOn w:val="DefaultParagraphFont"/>
  </w:style>
  <w:style w:type="character" w:customStyle="1" w:styleId="red-underline">
    <w:name w:val="red-underline"/>
    <w:basedOn w:val="DefaultParagraphFont"/>
  </w:style>
  <w:style w:type="character" w:customStyle="1" w:styleId="UnresolvedMention7">
    <w:name w:val="Unresolved Mention7"/>
    <w:uiPriority w:val="99"/>
    <w:semiHidden/>
    <w:unhideWhenUsed/>
    <w:rPr>
      <w:color w:val="808080"/>
      <w:shd w:val="clear" w:color="auto" w:fill="E6E6E6"/>
    </w:rPr>
  </w:style>
  <w:style w:type="paragraph" w:customStyle="1" w:styleId="p">
    <w:name w:val="p"/>
    <w:basedOn w:val="Normal"/>
    <w:pPr>
      <w:spacing w:before="100" w:beforeAutospacing="1" w:after="100" w:afterAutospacing="1"/>
      <w:ind w:left="0" w:firstLine="0"/>
      <w:jc w:val="left"/>
    </w:pPr>
    <w:rPr>
      <w:color w:val="auto"/>
    </w:rPr>
  </w:style>
  <w:style w:type="table" w:customStyle="1" w:styleId="PlainTable24">
    <w:name w:val="Plain Table 24"/>
    <w:basedOn w:val="TableNormal"/>
    <w:uiPriority w:val="42"/>
    <w:rPr>
      <w:rFonts w:ascii="Calibri" w:hAnsi="Calibri" w:cs="Arial"/>
      <w:sz w:val="22"/>
      <w:szCs w:val="22"/>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fm-vol-iss-date">
    <w:name w:val="fm-vol-iss-date"/>
    <w:basedOn w:val="DefaultParagraphFont"/>
  </w:style>
  <w:style w:type="character" w:customStyle="1" w:styleId="UnresolvedMention8">
    <w:name w:val="Unresolved Mention8"/>
    <w:uiPriority w:val="99"/>
    <w:semiHidden/>
    <w:unhideWhenUsed/>
    <w:rPr>
      <w:color w:val="808080"/>
      <w:shd w:val="clear" w:color="auto" w:fill="E6E6E6"/>
    </w:rPr>
  </w:style>
  <w:style w:type="character" w:customStyle="1" w:styleId="byline">
    <w:name w:val="byline"/>
  </w:style>
  <w:style w:type="paragraph" w:customStyle="1" w:styleId="Normal4">
    <w:name w:val="Normal4"/>
    <w:pPr>
      <w:spacing w:after="200" w:line="276" w:lineRule="auto"/>
    </w:pPr>
    <w:rPr>
      <w:rFonts w:ascii="Calibri" w:hAnsi="Calibri" w:cs="Calibri"/>
      <w:sz w:val="22"/>
      <w:szCs w:val="22"/>
    </w:rPr>
  </w:style>
  <w:style w:type="character" w:customStyle="1" w:styleId="a">
    <w:name w:val="_"/>
    <w:basedOn w:val="DefaultParagraphFont"/>
  </w:style>
  <w:style w:type="character" w:customStyle="1" w:styleId="ls2">
    <w:name w:val="ls2"/>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character" w:customStyle="1" w:styleId="nowrap">
    <w:name w:val="nowrap"/>
    <w:basedOn w:val="DefaultParagraphFont"/>
  </w:style>
  <w:style w:type="character" w:customStyle="1" w:styleId="ff3">
    <w:name w:val="ff3"/>
    <w:basedOn w:val="DefaultParagraphFont"/>
  </w:style>
  <w:style w:type="character" w:customStyle="1" w:styleId="ff2">
    <w:name w:val="ff2"/>
    <w:basedOn w:val="DefaultParagraphFont"/>
  </w:style>
  <w:style w:type="table" w:customStyle="1" w:styleId="MediumGrid32">
    <w:name w:val="Medium Grid 32"/>
    <w:basedOn w:val="TableNormal"/>
    <w:uiPriority w:val="69"/>
    <w:pPr>
      <w:spacing w:after="160" w:line="259" w:lineRule="auto"/>
    </w:pPr>
    <w:rPr>
      <w:rFonts w:ascii="Calibri" w:eastAsia="Calibri" w:hAnsi="Calibri" w:cs="SimSun"/>
      <w:sz w:val="22"/>
      <w:szCs w:val="22"/>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customStyle="1" w:styleId="PlainTable41">
    <w:name w:val="Plain Table 41"/>
    <w:basedOn w:val="TableNormal"/>
    <w:uiPriority w:val="44"/>
    <w:rPr>
      <w:rFonts w:ascii="Calibri" w:eastAsia="Calibri" w:hAnsi="Calibri" w:cs="SimSun"/>
      <w:sz w:val="22"/>
      <w:szCs w:val="22"/>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3-Accent11">
    <w:name w:val="List Table 3 - Accent 11"/>
    <w:basedOn w:val="TableNormal"/>
    <w:uiPriority w:val="48"/>
    <w:rPr>
      <w:rFonts w:ascii="Calibri" w:eastAsia="Calibri" w:hAnsi="Calibri" w:cs="SimSun"/>
      <w:sz w:val="22"/>
      <w:szCs w:val="22"/>
    </w:rPr>
    <w:tblPr>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feature-copy">
    <w:name w:val="feature-copy"/>
    <w:basedOn w:val="Normal"/>
    <w:pPr>
      <w:spacing w:before="100" w:beforeAutospacing="1" w:after="100" w:afterAutospacing="1"/>
      <w:ind w:left="0" w:firstLine="0"/>
      <w:jc w:val="left"/>
    </w:pPr>
    <w:rPr>
      <w:color w:val="auto"/>
    </w:rPr>
  </w:style>
  <w:style w:type="character" w:customStyle="1" w:styleId="reference-text">
    <w:name w:val="reference-text"/>
    <w:rPr>
      <w:rFonts w:cs="Times New Roman"/>
    </w:rPr>
  </w:style>
  <w:style w:type="table" w:customStyle="1" w:styleId="TableGrid0">
    <w:name w:val="TableGrid"/>
    <w:rPr>
      <w:rFonts w:ascii="Calibri" w:eastAsia="Times New Roman" w:hAnsi="Calibri" w:cs="Arial"/>
      <w:sz w:val="22"/>
      <w:szCs w:val="22"/>
      <w:lang w:val="en-GB" w:eastAsia="en-GB"/>
    </w:rPr>
    <w:tblPr>
      <w:tblCellMar>
        <w:top w:w="0" w:type="dxa"/>
        <w:left w:w="0" w:type="dxa"/>
        <w:bottom w:w="0" w:type="dxa"/>
        <w:right w:w="0" w:type="dxa"/>
      </w:tblCellMar>
    </w:tblPr>
  </w:style>
  <w:style w:type="table" w:customStyle="1" w:styleId="ListTable21">
    <w:name w:val="List Table 21"/>
    <w:basedOn w:val="TableNormal"/>
    <w:uiPriority w:val="47"/>
    <w:rPr>
      <w:rFonts w:ascii="Calibri" w:hAnsi="Calibri" w:cs="Arial"/>
      <w:sz w:val="22"/>
      <w:szCs w:val="22"/>
    </w:r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3">
    <w:name w:val="List Table 6 Colorful3"/>
    <w:basedOn w:val="TableNormal"/>
    <w:uiPriority w:val="51"/>
    <w:rPr>
      <w:rFonts w:ascii="Calibri" w:hAnsi="Calibri" w:cs="Arial"/>
      <w:color w:val="000000"/>
      <w:sz w:val="22"/>
      <w:szCs w:val="22"/>
    </w:rPr>
    <w:tblPr>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5">
    <w:name w:val="Plain Table 25"/>
    <w:basedOn w:val="TableNormal"/>
    <w:uiPriority w:val="42"/>
    <w:rPr>
      <w:rFonts w:ascii="Calibri" w:hAnsi="Calibri" w:cs="Arial"/>
      <w:sz w:val="22"/>
      <w:szCs w:val="22"/>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x-doi">
    <w:name w:val="dx-doi"/>
    <w:basedOn w:val="Normal"/>
    <w:pPr>
      <w:spacing w:before="100" w:beforeAutospacing="1" w:after="100" w:afterAutospacing="1"/>
      <w:ind w:left="0" w:firstLine="0"/>
      <w:jc w:val="left"/>
    </w:pPr>
    <w:rPr>
      <w:color w:val="auto"/>
    </w:rPr>
  </w:style>
  <w:style w:type="character" w:customStyle="1" w:styleId="Tablecaption">
    <w:name w:val="Table caption_"/>
    <w:link w:val="Tablecaption0"/>
    <w:rPr>
      <w:rFonts w:ascii="Palatino Linotype" w:eastAsia="Palatino Linotype" w:hAnsi="Palatino Linotype" w:cs="Palatino Linotype"/>
      <w:i/>
      <w:iCs/>
      <w:shd w:val="clear" w:color="auto" w:fill="FFFFFF"/>
    </w:rPr>
  </w:style>
  <w:style w:type="paragraph" w:customStyle="1" w:styleId="Tablecaption0">
    <w:name w:val="Table caption"/>
    <w:basedOn w:val="Normal"/>
    <w:link w:val="Tablecaption"/>
    <w:pPr>
      <w:widowControl w:val="0"/>
      <w:shd w:val="clear" w:color="auto" w:fill="FFFFFF"/>
      <w:spacing w:before="60" w:line="0" w:lineRule="atLeast"/>
      <w:ind w:left="0" w:firstLine="0"/>
      <w:jc w:val="left"/>
    </w:pPr>
    <w:rPr>
      <w:rFonts w:ascii="Palatino Linotype" w:eastAsia="Palatino Linotype" w:hAnsi="Palatino Linotype" w:cs="Palatino Linotype"/>
      <w:i/>
      <w:iCs/>
      <w:sz w:val="16"/>
      <w:szCs w:val="16"/>
    </w:rPr>
  </w:style>
  <w:style w:type="table" w:customStyle="1" w:styleId="APAReport">
    <w:name w:val="APA Report"/>
    <w:basedOn w:val="TableNormal"/>
    <w:uiPriority w:val="99"/>
    <w:rPr>
      <w:rFonts w:ascii="Calibri" w:hAnsi="Calibri" w:cs="Arial"/>
      <w:sz w:val="24"/>
      <w:szCs w:val="24"/>
      <w:lang w:eastAsia="ja-JP"/>
    </w:rPr>
    <w:tblPr>
      <w:tblBorders>
        <w:top w:val="single" w:sz="12" w:space="0" w:color="auto"/>
        <w:bottom w:val="single" w:sz="12" w:space="0" w:color="auto"/>
      </w:tblBorders>
    </w:tblPr>
    <w:tblStylePr w:type="firstRow">
      <w:rPr>
        <w:rFonts w:ascii="Times New Roman" w:hAnsi="Times New Roman"/>
      </w:rPr>
      <w:tblPr/>
      <w:tcPr>
        <w:tcBorders>
          <w:top w:val="single" w:sz="12" w:space="0" w:color="auto"/>
          <w:left w:val="nil"/>
          <w:bottom w:val="single" w:sz="12" w:space="0" w:color="auto"/>
          <w:right w:val="nil"/>
          <w:insideH w:val="nil"/>
          <w:insideV w:val="nil"/>
          <w:tl2br w:val="nil"/>
          <w:tr2bl w:val="nil"/>
        </w:tcBorders>
      </w:tcPr>
    </w:tblStylePr>
  </w:style>
  <w:style w:type="character" w:customStyle="1" w:styleId="pkpworkflowidentificationtitle">
    <w:name w:val="pkpworkflow__identificationtitle"/>
    <w:basedOn w:val="DefaultParagraphFont"/>
  </w:style>
  <w:style w:type="paragraph" w:customStyle="1" w:styleId="Rdaction">
    <w:name w:val="Rédaction"/>
    <w:basedOn w:val="Normal"/>
    <w:link w:val="RdactionCar"/>
    <w:qFormat/>
    <w:pPr>
      <w:spacing w:before="240" w:after="200" w:line="360" w:lineRule="auto"/>
      <w:ind w:left="0" w:firstLine="0"/>
    </w:pPr>
    <w:rPr>
      <w:rFonts w:eastAsia="Calibri"/>
      <w:color w:val="auto"/>
      <w:lang w:val="fr-FR"/>
    </w:rPr>
  </w:style>
  <w:style w:type="character" w:customStyle="1" w:styleId="RdactionCar">
    <w:name w:val="Rédaction Car"/>
    <w:link w:val="Rdaction"/>
    <w:rPr>
      <w:rFonts w:ascii="Times New Roman" w:hAnsi="Times New Roman" w:cs="Times New Roman"/>
      <w:color w:val="auto"/>
      <w:sz w:val="24"/>
      <w:szCs w:val="24"/>
      <w:lang w:val="fr-FR"/>
    </w:rPr>
  </w:style>
  <w:style w:type="paragraph" w:customStyle="1" w:styleId="banques">
    <w:name w:val="banques"/>
    <w:basedOn w:val="Normal"/>
    <w:link w:val="banquesCar"/>
    <w:qFormat/>
    <w:pPr>
      <w:spacing w:after="200" w:line="360" w:lineRule="auto"/>
      <w:ind w:left="0" w:firstLine="0"/>
    </w:pPr>
    <w:rPr>
      <w:rFonts w:eastAsia="Calibri"/>
      <w:color w:val="auto"/>
    </w:rPr>
  </w:style>
  <w:style w:type="character" w:customStyle="1" w:styleId="banquesCar">
    <w:name w:val="banques Car"/>
    <w:link w:val="banques"/>
    <w:rPr>
      <w:rFonts w:ascii="Times New Roman" w:hAnsi="Times New Roman" w:cs="Times New Roman"/>
      <w:color w:val="auto"/>
      <w:sz w:val="24"/>
      <w:szCs w:val="24"/>
    </w:rPr>
  </w:style>
  <w:style w:type="character" w:customStyle="1" w:styleId="word">
    <w:name w:val="word"/>
    <w:basedOn w:val="DefaultParagraphFont"/>
  </w:style>
  <w:style w:type="character" w:customStyle="1" w:styleId="user-generated">
    <w:name w:val="user-generated"/>
    <w:basedOn w:val="DefaultParagraphFont"/>
  </w:style>
  <w:style w:type="character" w:customStyle="1" w:styleId="sr-only">
    <w:name w:val="sr-only"/>
    <w:basedOn w:val="DefaultParagraphFont"/>
  </w:style>
  <w:style w:type="character" w:customStyle="1" w:styleId="ilfuvd">
    <w:name w:val="ilfuvd"/>
    <w:basedOn w:val="DefaultParagraphFont"/>
  </w:style>
  <w:style w:type="paragraph" w:customStyle="1" w:styleId="root-block-node">
    <w:name w:val="root-block-node"/>
    <w:basedOn w:val="Normal"/>
    <w:pPr>
      <w:spacing w:before="100" w:beforeAutospacing="1" w:after="100" w:afterAutospacing="1"/>
      <w:ind w:left="0" w:firstLine="0"/>
      <w:jc w:val="left"/>
    </w:pPr>
    <w:rPr>
      <w:color w:val="auto"/>
    </w:rPr>
  </w:style>
  <w:style w:type="paragraph" w:styleId="IntenseQuote">
    <w:name w:val="Intense Quote"/>
    <w:basedOn w:val="Normal"/>
    <w:next w:val="Normal"/>
    <w:link w:val="IntenseQuoteChar"/>
    <w:uiPriority w:val="30"/>
    <w:qFormat/>
    <w:pPr>
      <w:pBdr>
        <w:top w:val="single" w:sz="4" w:space="10" w:color="5B9BD5"/>
        <w:bottom w:val="single" w:sz="4" w:space="10" w:color="5B9BD5"/>
      </w:pBdr>
      <w:spacing w:before="360" w:after="360" w:line="360" w:lineRule="auto"/>
      <w:ind w:left="864" w:right="864" w:firstLine="0"/>
      <w:jc w:val="center"/>
    </w:pPr>
    <w:rPr>
      <w:rFonts w:cs="Arial"/>
      <w:b/>
      <w:i/>
      <w:iCs/>
      <w:color w:val="auto"/>
      <w:sz w:val="25"/>
      <w:szCs w:val="22"/>
    </w:rPr>
  </w:style>
  <w:style w:type="character" w:customStyle="1" w:styleId="IntenseQuoteChar">
    <w:name w:val="Intense Quote Char"/>
    <w:link w:val="IntenseQuote"/>
    <w:uiPriority w:val="30"/>
    <w:rPr>
      <w:rFonts w:eastAsia="Times New Roman" w:cs="Arial"/>
      <w:b/>
      <w:i/>
      <w:iCs/>
      <w:color w:val="auto"/>
      <w:sz w:val="25"/>
      <w:szCs w:val="22"/>
    </w:rPr>
  </w:style>
  <w:style w:type="paragraph" w:styleId="Quote">
    <w:name w:val="Quote"/>
    <w:basedOn w:val="Normal"/>
    <w:next w:val="Normal"/>
    <w:link w:val="QuoteChar"/>
    <w:uiPriority w:val="29"/>
    <w:qFormat/>
    <w:pPr>
      <w:spacing w:before="200" w:after="160" w:line="360" w:lineRule="auto"/>
      <w:ind w:left="864" w:right="864" w:firstLine="0"/>
    </w:pPr>
    <w:rPr>
      <w:rFonts w:eastAsia="Calibri" w:cs="Arial"/>
      <w:iCs/>
      <w:color w:val="auto"/>
      <w:szCs w:val="22"/>
    </w:rPr>
  </w:style>
  <w:style w:type="character" w:customStyle="1" w:styleId="QuoteChar">
    <w:name w:val="Quote Char"/>
    <w:link w:val="Quote"/>
    <w:uiPriority w:val="29"/>
    <w:rPr>
      <w:rFonts w:cs="Arial"/>
      <w:iCs/>
      <w:color w:val="auto"/>
      <w:sz w:val="24"/>
      <w:szCs w:val="22"/>
    </w:rPr>
  </w:style>
  <w:style w:type="character" w:customStyle="1" w:styleId="tlid-translation">
    <w:name w:val="tlid-translation"/>
  </w:style>
  <w:style w:type="character" w:customStyle="1" w:styleId="DocumentMapChar">
    <w:name w:val="Document Map Char"/>
    <w:link w:val="DocumentMap"/>
    <w:uiPriority w:val="99"/>
    <w:qFormat/>
    <w:rPr>
      <w:rFonts w:ascii="SimSun" w:eastAsia="SimSun" w:hAnsi="Calibri"/>
      <w:kern w:val="2"/>
      <w:sz w:val="18"/>
      <w:szCs w:val="18"/>
    </w:rPr>
  </w:style>
  <w:style w:type="paragraph" w:customStyle="1" w:styleId="58">
    <w:name w:val="样式58"/>
    <w:basedOn w:val="Normal"/>
    <w:pPr>
      <w:tabs>
        <w:tab w:val="center" w:pos="4366"/>
        <w:tab w:val="right" w:pos="8732"/>
      </w:tabs>
      <w:spacing w:line="440" w:lineRule="atLeast"/>
      <w:ind w:left="0" w:firstLineChars="200" w:firstLine="480"/>
      <w:jc w:val="left"/>
    </w:pPr>
    <w:rPr>
      <w:rFonts w:eastAsia="SimSun"/>
      <w:color w:val="auto"/>
      <w:kern w:val="2"/>
      <w:lang w:eastAsia="zh-CN"/>
    </w:rPr>
  </w:style>
  <w:style w:type="paragraph" w:customStyle="1" w:styleId="54">
    <w:name w:val="样式54"/>
    <w:basedOn w:val="47"/>
  </w:style>
  <w:style w:type="paragraph" w:customStyle="1" w:styleId="47">
    <w:name w:val="样式47"/>
    <w:basedOn w:val="42"/>
    <w:pPr>
      <w:spacing w:line="240" w:lineRule="auto"/>
    </w:pPr>
  </w:style>
  <w:style w:type="paragraph" w:customStyle="1" w:styleId="42">
    <w:name w:val="样式42"/>
    <w:basedOn w:val="Normal"/>
    <w:pPr>
      <w:tabs>
        <w:tab w:val="center" w:pos="4366"/>
        <w:tab w:val="right" w:pos="8732"/>
      </w:tabs>
      <w:spacing w:line="440" w:lineRule="atLeast"/>
      <w:ind w:left="0" w:firstLineChars="200" w:firstLine="480"/>
      <w:jc w:val="left"/>
    </w:pPr>
    <w:rPr>
      <w:rFonts w:eastAsia="SimSun"/>
      <w:color w:val="auto"/>
      <w:kern w:val="2"/>
      <w:lang w:eastAsia="zh-CN"/>
    </w:rPr>
  </w:style>
  <w:style w:type="paragraph" w:customStyle="1" w:styleId="46">
    <w:name w:val="样式46"/>
    <w:basedOn w:val="Normal"/>
    <w:pPr>
      <w:tabs>
        <w:tab w:val="center" w:pos="4366"/>
        <w:tab w:val="right" w:pos="8732"/>
      </w:tabs>
      <w:spacing w:line="440" w:lineRule="exact"/>
      <w:ind w:left="0" w:firstLineChars="200" w:firstLine="480"/>
      <w:jc w:val="left"/>
    </w:pPr>
    <w:rPr>
      <w:rFonts w:eastAsia="SimSun"/>
      <w:color w:val="auto"/>
      <w:kern w:val="2"/>
      <w:lang w:val="zh-CN" w:eastAsia="zh-CN"/>
    </w:rPr>
  </w:style>
  <w:style w:type="character" w:customStyle="1" w:styleId="DocumentMapChar1">
    <w:name w:val="Document Map Char1"/>
    <w:uiPriority w:val="99"/>
    <w:semiHidden/>
    <w:rPr>
      <w:rFonts w:ascii="Segoe UI" w:eastAsia="Times New Roman" w:hAnsi="Segoe UI" w:cs="Segoe UI"/>
      <w:color w:val="000000"/>
      <w:sz w:val="16"/>
      <w:szCs w:val="16"/>
    </w:rPr>
  </w:style>
  <w:style w:type="paragraph" w:customStyle="1" w:styleId="55">
    <w:name w:val="样式55"/>
    <w:basedOn w:val="Normal"/>
    <w:pPr>
      <w:tabs>
        <w:tab w:val="center" w:pos="4366"/>
        <w:tab w:val="right" w:pos="8732"/>
      </w:tabs>
      <w:spacing w:line="440" w:lineRule="atLeast"/>
      <w:ind w:left="0" w:firstLineChars="200" w:firstLine="480"/>
      <w:jc w:val="left"/>
    </w:pPr>
    <w:rPr>
      <w:rFonts w:eastAsia="SimSun"/>
      <w:color w:val="auto"/>
      <w:kern w:val="2"/>
      <w:lang w:eastAsia="zh-CN"/>
    </w:rPr>
  </w:style>
  <w:style w:type="paragraph" w:customStyle="1" w:styleId="2">
    <w:name w:val="2级标题"/>
    <w:basedOn w:val="Normal"/>
    <w:pPr>
      <w:tabs>
        <w:tab w:val="center" w:pos="4366"/>
        <w:tab w:val="right" w:pos="8732"/>
      </w:tabs>
      <w:spacing w:beforeLines="50" w:before="50" w:afterLines="50" w:after="50" w:line="440" w:lineRule="atLeast"/>
      <w:ind w:left="0" w:firstLine="0"/>
    </w:pPr>
    <w:rPr>
      <w:rFonts w:eastAsia="SimSun"/>
      <w:b/>
      <w:color w:val="auto"/>
      <w:kern w:val="2"/>
      <w:lang w:eastAsia="zh-CN"/>
    </w:rPr>
  </w:style>
  <w:style w:type="paragraph" w:customStyle="1" w:styleId="48">
    <w:name w:val="样式48"/>
    <w:basedOn w:val="Normal"/>
    <w:pPr>
      <w:tabs>
        <w:tab w:val="center" w:pos="4366"/>
        <w:tab w:val="right" w:pos="8732"/>
      </w:tabs>
      <w:spacing w:line="440" w:lineRule="exact"/>
      <w:ind w:left="0" w:firstLineChars="200" w:firstLine="480"/>
      <w:jc w:val="left"/>
    </w:pPr>
    <w:rPr>
      <w:rFonts w:eastAsia="SimSun"/>
      <w:color w:val="auto"/>
      <w:kern w:val="2"/>
      <w:lang w:eastAsia="zh-CN"/>
    </w:rPr>
  </w:style>
  <w:style w:type="paragraph" w:customStyle="1" w:styleId="41">
    <w:name w:val="样式41"/>
    <w:basedOn w:val="Normal"/>
    <w:pPr>
      <w:tabs>
        <w:tab w:val="center" w:pos="4366"/>
        <w:tab w:val="right" w:pos="8732"/>
      </w:tabs>
      <w:spacing w:line="440" w:lineRule="atLeast"/>
      <w:ind w:left="0" w:firstLineChars="200" w:firstLine="480"/>
      <w:jc w:val="left"/>
    </w:pPr>
    <w:rPr>
      <w:rFonts w:eastAsia="SimSun"/>
      <w:color w:val="auto"/>
      <w:kern w:val="2"/>
      <w:lang w:eastAsia="zh-CN"/>
    </w:rPr>
  </w:style>
  <w:style w:type="paragraph" w:customStyle="1" w:styleId="1">
    <w:name w:val="列出段落1"/>
    <w:basedOn w:val="Normal"/>
    <w:pPr>
      <w:widowControl w:val="0"/>
      <w:spacing w:line="440" w:lineRule="exact"/>
      <w:ind w:left="0" w:firstLineChars="200" w:firstLine="420"/>
    </w:pPr>
    <w:rPr>
      <w:rFonts w:eastAsia="SimSun"/>
      <w:color w:val="auto"/>
      <w:kern w:val="2"/>
      <w:szCs w:val="22"/>
      <w:lang w:eastAsia="zh-CN"/>
    </w:rPr>
  </w:style>
  <w:style w:type="paragraph" w:customStyle="1" w:styleId="50">
    <w:name w:val="样式50"/>
    <w:basedOn w:val="Normal"/>
    <w:pPr>
      <w:tabs>
        <w:tab w:val="center" w:pos="4366"/>
        <w:tab w:val="right" w:pos="8732"/>
      </w:tabs>
      <w:spacing w:line="440" w:lineRule="exact"/>
      <w:ind w:left="0" w:firstLineChars="200" w:firstLine="480"/>
      <w:jc w:val="left"/>
    </w:pPr>
    <w:rPr>
      <w:rFonts w:eastAsia="SimSun"/>
      <w:color w:val="auto"/>
      <w:kern w:val="2"/>
      <w:lang w:eastAsia="zh-CN"/>
    </w:rPr>
  </w:style>
  <w:style w:type="paragraph" w:customStyle="1" w:styleId="44">
    <w:name w:val="样式44"/>
    <w:basedOn w:val="Normal"/>
    <w:pPr>
      <w:tabs>
        <w:tab w:val="center" w:pos="4366"/>
        <w:tab w:val="right" w:pos="8732"/>
      </w:tabs>
      <w:spacing w:line="440" w:lineRule="exact"/>
      <w:ind w:left="0" w:firstLineChars="200" w:firstLine="480"/>
      <w:jc w:val="left"/>
    </w:pPr>
    <w:rPr>
      <w:rFonts w:eastAsia="SimSun"/>
      <w:color w:val="auto"/>
      <w:kern w:val="2"/>
      <w:lang w:eastAsia="zh-CN"/>
    </w:rPr>
  </w:style>
  <w:style w:type="paragraph" w:customStyle="1" w:styleId="64">
    <w:name w:val="样式64"/>
    <w:basedOn w:val="Normal"/>
    <w:pPr>
      <w:tabs>
        <w:tab w:val="center" w:pos="4366"/>
        <w:tab w:val="right" w:pos="8732"/>
      </w:tabs>
      <w:spacing w:line="440" w:lineRule="atLeast"/>
      <w:ind w:left="0" w:firstLineChars="200" w:firstLine="480"/>
      <w:jc w:val="left"/>
    </w:pPr>
    <w:rPr>
      <w:rFonts w:eastAsia="SimSun"/>
      <w:color w:val="auto"/>
      <w:kern w:val="2"/>
      <w:lang w:eastAsia="zh-CN"/>
    </w:rPr>
  </w:style>
  <w:style w:type="paragraph" w:customStyle="1" w:styleId="45">
    <w:name w:val="样式45"/>
    <w:basedOn w:val="Normal"/>
    <w:pPr>
      <w:tabs>
        <w:tab w:val="center" w:pos="4366"/>
        <w:tab w:val="right" w:pos="8732"/>
      </w:tabs>
      <w:spacing w:line="440" w:lineRule="exact"/>
      <w:ind w:left="0" w:firstLineChars="200" w:firstLine="480"/>
      <w:jc w:val="left"/>
    </w:pPr>
    <w:rPr>
      <w:rFonts w:eastAsia="SimSun"/>
      <w:color w:val="auto"/>
      <w:kern w:val="2"/>
      <w:lang w:eastAsia="zh-CN"/>
    </w:rPr>
  </w:style>
  <w:style w:type="paragraph" w:customStyle="1" w:styleId="a0">
    <w:name w:val="参考文献"/>
    <w:basedOn w:val="Normal"/>
    <w:pPr>
      <w:tabs>
        <w:tab w:val="left" w:pos="420"/>
      </w:tabs>
      <w:snapToGrid w:val="0"/>
      <w:spacing w:line="252" w:lineRule="exact"/>
      <w:ind w:left="420" w:firstLineChars="200" w:hanging="420"/>
    </w:pPr>
    <w:rPr>
      <w:rFonts w:eastAsia="方正书宋简体"/>
      <w:color w:val="auto"/>
      <w:spacing w:val="2"/>
      <w:sz w:val="17"/>
      <w:szCs w:val="17"/>
      <w:lang w:eastAsia="zh-CN"/>
    </w:rPr>
  </w:style>
  <w:style w:type="paragraph" w:customStyle="1" w:styleId="NoSpacing1">
    <w:name w:val="No Spacing1"/>
    <w:pPr>
      <w:widowControl w:val="0"/>
      <w:jc w:val="both"/>
    </w:pPr>
    <w:rPr>
      <w:rFonts w:ascii="Calibri" w:hAnsi="Calibri"/>
      <w:kern w:val="2"/>
      <w:sz w:val="21"/>
      <w:szCs w:val="22"/>
      <w:lang w:eastAsia="zh-CN"/>
    </w:rPr>
  </w:style>
  <w:style w:type="paragraph" w:customStyle="1" w:styleId="49">
    <w:name w:val="样式49"/>
    <w:basedOn w:val="Normal"/>
    <w:pPr>
      <w:tabs>
        <w:tab w:val="center" w:pos="4366"/>
        <w:tab w:val="right" w:pos="8732"/>
      </w:tabs>
      <w:spacing w:line="440" w:lineRule="exact"/>
      <w:ind w:left="0" w:firstLineChars="200" w:firstLine="480"/>
      <w:jc w:val="left"/>
    </w:pPr>
    <w:rPr>
      <w:rFonts w:eastAsia="SimSun"/>
      <w:color w:val="auto"/>
      <w:kern w:val="2"/>
      <w:lang w:eastAsia="zh-CN"/>
    </w:rPr>
  </w:style>
  <w:style w:type="paragraph" w:customStyle="1" w:styleId="57">
    <w:name w:val="样式57"/>
    <w:basedOn w:val="Normal"/>
    <w:pPr>
      <w:tabs>
        <w:tab w:val="center" w:pos="4366"/>
        <w:tab w:val="right" w:pos="8732"/>
      </w:tabs>
      <w:spacing w:line="440" w:lineRule="atLeast"/>
      <w:ind w:left="0" w:firstLineChars="200" w:firstLine="480"/>
      <w:jc w:val="left"/>
    </w:pPr>
    <w:rPr>
      <w:rFonts w:eastAsia="SimSun"/>
      <w:color w:val="auto"/>
      <w:kern w:val="2"/>
      <w:lang w:eastAsia="zh-CN"/>
    </w:rPr>
  </w:style>
  <w:style w:type="paragraph" w:customStyle="1" w:styleId="28">
    <w:name w:val="样式28"/>
    <w:basedOn w:val="Normal"/>
    <w:pPr>
      <w:tabs>
        <w:tab w:val="center" w:pos="4366"/>
        <w:tab w:val="right" w:pos="8732"/>
      </w:tabs>
      <w:spacing w:line="440" w:lineRule="atLeast"/>
      <w:ind w:left="0" w:firstLineChars="200" w:firstLine="480"/>
      <w:jc w:val="left"/>
    </w:pPr>
    <w:rPr>
      <w:rFonts w:eastAsia="SimSun"/>
      <w:color w:val="auto"/>
      <w:kern w:val="2"/>
      <w:lang w:eastAsia="zh-CN"/>
    </w:rPr>
  </w:style>
  <w:style w:type="paragraph" w:customStyle="1" w:styleId="66">
    <w:name w:val="样式66"/>
    <w:basedOn w:val="64"/>
  </w:style>
  <w:style w:type="paragraph" w:customStyle="1" w:styleId="53">
    <w:name w:val="样式53"/>
    <w:basedOn w:val="Normal"/>
    <w:pPr>
      <w:tabs>
        <w:tab w:val="center" w:pos="4366"/>
        <w:tab w:val="right" w:pos="8732"/>
      </w:tabs>
      <w:spacing w:line="440" w:lineRule="atLeast"/>
      <w:ind w:left="0" w:firstLineChars="200" w:firstLine="480"/>
      <w:jc w:val="left"/>
    </w:pPr>
    <w:rPr>
      <w:rFonts w:eastAsia="SimSun"/>
      <w:color w:val="auto"/>
      <w:kern w:val="2"/>
      <w:lang w:eastAsia="zh-CN"/>
    </w:rPr>
  </w:style>
  <w:style w:type="paragraph" w:customStyle="1" w:styleId="60">
    <w:name w:val="样式60"/>
    <w:basedOn w:val="Normal"/>
    <w:pPr>
      <w:tabs>
        <w:tab w:val="center" w:pos="4366"/>
        <w:tab w:val="right" w:pos="8732"/>
      </w:tabs>
      <w:spacing w:line="440" w:lineRule="atLeast"/>
      <w:ind w:left="0" w:firstLineChars="200" w:firstLine="480"/>
      <w:jc w:val="left"/>
    </w:pPr>
    <w:rPr>
      <w:rFonts w:eastAsia="SimSun"/>
      <w:color w:val="auto"/>
      <w:kern w:val="2"/>
      <w:lang w:eastAsia="zh-CN"/>
    </w:rPr>
  </w:style>
  <w:style w:type="paragraph" w:customStyle="1" w:styleId="11">
    <w:name w:val="列出段落11"/>
    <w:basedOn w:val="Normal"/>
    <w:pPr>
      <w:spacing w:line="360" w:lineRule="auto"/>
      <w:ind w:left="0" w:firstLineChars="200" w:firstLine="420"/>
    </w:pPr>
    <w:rPr>
      <w:rFonts w:eastAsia="SimSun"/>
      <w:color w:val="auto"/>
      <w:kern w:val="2"/>
      <w:szCs w:val="21"/>
      <w:lang w:eastAsia="zh-CN"/>
    </w:rPr>
  </w:style>
  <w:style w:type="paragraph" w:customStyle="1" w:styleId="59">
    <w:name w:val="样式59"/>
    <w:basedOn w:val="Normal"/>
    <w:pPr>
      <w:tabs>
        <w:tab w:val="center" w:pos="4366"/>
        <w:tab w:val="right" w:pos="8732"/>
      </w:tabs>
      <w:spacing w:line="440" w:lineRule="atLeast"/>
      <w:ind w:left="0" w:firstLineChars="200" w:firstLine="480"/>
      <w:jc w:val="left"/>
    </w:pPr>
    <w:rPr>
      <w:rFonts w:eastAsia="SimSun"/>
      <w:color w:val="auto"/>
      <w:kern w:val="2"/>
      <w:lang w:eastAsia="zh-CN"/>
    </w:rPr>
  </w:style>
  <w:style w:type="paragraph" w:customStyle="1" w:styleId="43">
    <w:name w:val="样式43"/>
    <w:basedOn w:val="Normal"/>
    <w:pPr>
      <w:tabs>
        <w:tab w:val="center" w:pos="4366"/>
        <w:tab w:val="right" w:pos="8732"/>
      </w:tabs>
      <w:spacing w:line="440" w:lineRule="exact"/>
      <w:ind w:left="0" w:firstLineChars="200" w:firstLine="480"/>
      <w:jc w:val="left"/>
    </w:pPr>
    <w:rPr>
      <w:rFonts w:eastAsia="SimSun"/>
      <w:color w:val="auto"/>
      <w:kern w:val="2"/>
      <w:lang w:eastAsia="zh-CN"/>
    </w:rPr>
  </w:style>
  <w:style w:type="paragraph" w:customStyle="1" w:styleId="65">
    <w:name w:val="样式65"/>
    <w:basedOn w:val="Normal"/>
    <w:pPr>
      <w:tabs>
        <w:tab w:val="center" w:pos="4366"/>
        <w:tab w:val="right" w:pos="8732"/>
      </w:tabs>
      <w:spacing w:line="440" w:lineRule="atLeast"/>
      <w:ind w:left="0" w:firstLineChars="200" w:firstLine="480"/>
      <w:jc w:val="left"/>
    </w:pPr>
    <w:rPr>
      <w:rFonts w:eastAsia="SimSun"/>
      <w:color w:val="auto"/>
      <w:kern w:val="2"/>
      <w:lang w:eastAsia="zh-CN"/>
    </w:rPr>
  </w:style>
  <w:style w:type="paragraph" w:customStyle="1" w:styleId="63">
    <w:name w:val="样式63"/>
    <w:basedOn w:val="Normal"/>
    <w:pPr>
      <w:tabs>
        <w:tab w:val="center" w:pos="4366"/>
        <w:tab w:val="right" w:pos="8732"/>
      </w:tabs>
      <w:spacing w:line="440" w:lineRule="atLeast"/>
      <w:ind w:left="0" w:firstLineChars="200" w:firstLine="480"/>
      <w:jc w:val="left"/>
    </w:pPr>
    <w:rPr>
      <w:rFonts w:eastAsia="SimSun"/>
      <w:color w:val="auto"/>
      <w:kern w:val="2"/>
      <w:lang w:eastAsia="zh-CN"/>
    </w:rPr>
  </w:style>
  <w:style w:type="paragraph" w:customStyle="1" w:styleId="52">
    <w:name w:val="样式52"/>
    <w:basedOn w:val="Normal"/>
    <w:pPr>
      <w:tabs>
        <w:tab w:val="center" w:pos="4366"/>
        <w:tab w:val="right" w:pos="8732"/>
      </w:tabs>
      <w:spacing w:line="440" w:lineRule="atLeast"/>
      <w:ind w:left="0" w:firstLineChars="200" w:firstLine="480"/>
      <w:jc w:val="left"/>
    </w:pPr>
    <w:rPr>
      <w:rFonts w:eastAsia="SimSun"/>
      <w:color w:val="auto"/>
      <w:kern w:val="2"/>
      <w:lang w:eastAsia="zh-CN"/>
    </w:rPr>
  </w:style>
  <w:style w:type="paragraph" w:customStyle="1" w:styleId="62">
    <w:name w:val="样式62"/>
    <w:basedOn w:val="56"/>
  </w:style>
  <w:style w:type="paragraph" w:customStyle="1" w:styleId="56">
    <w:name w:val="样式56"/>
    <w:basedOn w:val="Normal"/>
    <w:pPr>
      <w:tabs>
        <w:tab w:val="center" w:pos="4366"/>
        <w:tab w:val="right" w:pos="8732"/>
      </w:tabs>
      <w:spacing w:line="440" w:lineRule="atLeast"/>
      <w:ind w:left="0" w:firstLineChars="200" w:firstLine="480"/>
      <w:jc w:val="left"/>
    </w:pPr>
    <w:rPr>
      <w:rFonts w:eastAsia="SimSun"/>
      <w:color w:val="auto"/>
      <w:kern w:val="2"/>
      <w:lang w:eastAsia="zh-CN"/>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NormalWebChar">
    <w:name w:val="Normal (Web) Char"/>
    <w:basedOn w:val="DefaultParagraphFont"/>
    <w:link w:val="NormalWeb"/>
    <w:uiPriority w:val="99"/>
    <w:qFormat/>
    <w:locked/>
    <w:rPr>
      <w:rFonts w:eastAsia="Times New Roman"/>
      <w:color w:val="000000"/>
      <w:sz w:val="24"/>
      <w:szCs w:val="24"/>
    </w:rPr>
  </w:style>
  <w:style w:type="table" w:customStyle="1" w:styleId="GridTable5Dark-Accent11">
    <w:name w:val="Grid Table 5 Dark - Accent 11"/>
    <w:basedOn w:val="TableNormal"/>
    <w:uiPriority w:val="50"/>
    <w:rPr>
      <w:rFonts w:asciiTheme="minorHAnsi" w:eastAsiaTheme="minorHAnsi" w:hAnsiTheme="minorHAnsi" w:cstheme="minorBidi"/>
      <w:sz w:val="22"/>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PlainTable26">
    <w:name w:val="Plain Table 26"/>
    <w:basedOn w:val="TableNormal"/>
    <w:uiPriority w:val="42"/>
    <w:rPr>
      <w:rFonts w:asciiTheme="minorHAnsi" w:eastAsiaTheme="minorHAnsi" w:hAnsiTheme="minorHAnsi" w:cstheme="minorBidi"/>
      <w:sz w:val="22"/>
      <w:szCs w:val="22"/>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wp-caption-text">
    <w:name w:val="wp-caption-text"/>
    <w:basedOn w:val="Normal"/>
    <w:uiPriority w:val="99"/>
    <w:pPr>
      <w:spacing w:before="100" w:beforeAutospacing="1" w:after="100" w:afterAutospacing="1"/>
      <w:ind w:left="0" w:firstLine="0"/>
      <w:jc w:val="left"/>
    </w:pPr>
    <w:rPr>
      <w:color w:val="auto"/>
    </w:rPr>
  </w:style>
  <w:style w:type="character" w:customStyle="1" w:styleId="nomargin">
    <w:name w:val="no_margin"/>
    <w:basedOn w:val="DefaultParagraphFont"/>
  </w:style>
  <w:style w:type="character" w:customStyle="1" w:styleId="nlmfpage">
    <w:name w:val="nlm_fpage"/>
    <w:basedOn w:val="DefaultParagraphFont"/>
  </w:style>
  <w:style w:type="character" w:customStyle="1" w:styleId="nlmlpage">
    <w:name w:val="nlm_lpage"/>
    <w:basedOn w:val="DefaultParagraphFont"/>
  </w:style>
  <w:style w:type="character" w:customStyle="1" w:styleId="author">
    <w:name w:val="author"/>
    <w:basedOn w:val="DefaultParagraphFont"/>
  </w:style>
  <w:style w:type="character" w:customStyle="1" w:styleId="pubyear">
    <w:name w:val="pubyear"/>
    <w:basedOn w:val="DefaultParagraphFont"/>
  </w:style>
  <w:style w:type="character" w:customStyle="1" w:styleId="articletitle">
    <w:name w:val="articletitle"/>
    <w:basedOn w:val="DefaultParagraphFont"/>
  </w:style>
  <w:style w:type="character" w:customStyle="1" w:styleId="vol">
    <w:name w:val="vol"/>
    <w:basedOn w:val="DefaultParagraphFont"/>
  </w:style>
  <w:style w:type="character" w:customStyle="1" w:styleId="pagefirst">
    <w:name w:val="pagefirst"/>
    <w:basedOn w:val="DefaultParagraphFont"/>
  </w:style>
  <w:style w:type="character" w:customStyle="1" w:styleId="pagelast">
    <w:name w:val="pagelast"/>
    <w:basedOn w:val="DefaultParagraphFont"/>
  </w:style>
  <w:style w:type="character" w:customStyle="1" w:styleId="chaptertitle">
    <w:name w:val="chaptertitle"/>
    <w:basedOn w:val="DefaultParagraphFont"/>
  </w:style>
  <w:style w:type="character" w:customStyle="1" w:styleId="editor">
    <w:name w:val="editor"/>
    <w:basedOn w:val="DefaultParagraphFont"/>
  </w:style>
  <w:style w:type="character" w:customStyle="1" w:styleId="booktitle">
    <w:name w:val="booktitle"/>
    <w:basedOn w:val="DefaultParagraphFont"/>
  </w:style>
  <w:style w:type="character" w:customStyle="1" w:styleId="freebirdformviewerviewitemsitemrequiredasterisk">
    <w:name w:val="freebirdformviewerviewitemsitemrequiredasterisk"/>
    <w:basedOn w:val="DefaultParagraphFont"/>
  </w:style>
  <w:style w:type="character" w:customStyle="1" w:styleId="docssharedwiztogglelabeledlabeltext">
    <w:name w:val="docssharedwiztogglelabeledlabeltext"/>
    <w:basedOn w:val="DefaultParagraphFont"/>
  </w:style>
  <w:style w:type="character" w:customStyle="1" w:styleId="BalloonTextChar1">
    <w:name w:val="Balloon Text Char1"/>
    <w:basedOn w:val="DefaultParagraphFont"/>
    <w:uiPriority w:val="99"/>
    <w:semiHidden/>
    <w:locked/>
    <w:rPr>
      <w:rFonts w:ascii="Tahoma" w:eastAsia="Calibri" w:hAnsi="Tahoma" w:cs="Tahoma"/>
      <w:sz w:val="16"/>
      <w:szCs w:val="16"/>
      <w:lang w:eastAsia="ar-SA"/>
    </w:rPr>
  </w:style>
  <w:style w:type="paragraph" w:customStyle="1" w:styleId="Heading">
    <w:name w:val="Heading"/>
    <w:basedOn w:val="Normal"/>
    <w:next w:val="BodyText"/>
    <w:uiPriority w:val="99"/>
    <w:pPr>
      <w:keepNext/>
      <w:suppressAutoHyphens/>
      <w:spacing w:before="240" w:after="120" w:line="276" w:lineRule="auto"/>
      <w:ind w:left="0" w:firstLine="0"/>
      <w:jc w:val="left"/>
    </w:pPr>
    <w:rPr>
      <w:rFonts w:ascii="Arial" w:eastAsia="SimSun" w:hAnsi="Arial" w:cs="Lucida Sans"/>
      <w:color w:val="auto"/>
      <w:sz w:val="28"/>
      <w:szCs w:val="28"/>
      <w:lang w:eastAsia="ar-SA"/>
    </w:rPr>
  </w:style>
  <w:style w:type="paragraph" w:customStyle="1" w:styleId="Index">
    <w:name w:val="Index"/>
    <w:basedOn w:val="Normal"/>
    <w:uiPriority w:val="99"/>
    <w:pPr>
      <w:suppressLineNumbers/>
      <w:suppressAutoHyphens/>
      <w:spacing w:after="200" w:line="276" w:lineRule="auto"/>
      <w:ind w:left="0" w:firstLine="0"/>
      <w:jc w:val="left"/>
    </w:pPr>
    <w:rPr>
      <w:rFonts w:ascii="Calibri" w:eastAsia="Calibri" w:hAnsi="Calibri" w:cs="Lucida Sans"/>
      <w:color w:val="auto"/>
      <w:sz w:val="22"/>
      <w:szCs w:val="22"/>
      <w:lang w:eastAsia="ar-SA"/>
    </w:rPr>
  </w:style>
  <w:style w:type="paragraph" w:customStyle="1" w:styleId="bodytextfp">
    <w:name w:val="bodytextfp"/>
    <w:basedOn w:val="Normal"/>
    <w:uiPriority w:val="99"/>
    <w:pPr>
      <w:suppressAutoHyphens/>
      <w:spacing w:before="280" w:after="280"/>
      <w:ind w:left="0" w:firstLine="0"/>
      <w:jc w:val="left"/>
    </w:pPr>
    <w:rPr>
      <w:color w:val="auto"/>
      <w:lang w:eastAsia="ar-SA"/>
    </w:rPr>
  </w:style>
  <w:style w:type="paragraph" w:customStyle="1" w:styleId="bodytext0">
    <w:name w:val="bodytext"/>
    <w:basedOn w:val="Normal"/>
    <w:uiPriority w:val="99"/>
    <w:pPr>
      <w:suppressAutoHyphens/>
      <w:spacing w:before="280" w:after="280"/>
      <w:ind w:left="0" w:firstLine="0"/>
      <w:jc w:val="left"/>
    </w:pPr>
    <w:rPr>
      <w:color w:val="auto"/>
      <w:lang w:eastAsia="ar-SA"/>
    </w:rPr>
  </w:style>
  <w:style w:type="paragraph" w:customStyle="1" w:styleId="listterm">
    <w:name w:val="listterm"/>
    <w:basedOn w:val="Normal"/>
    <w:uiPriority w:val="99"/>
    <w:pPr>
      <w:suppressAutoHyphens/>
      <w:spacing w:before="280" w:after="280"/>
      <w:ind w:left="0" w:firstLine="0"/>
      <w:jc w:val="left"/>
    </w:pPr>
    <w:rPr>
      <w:color w:val="auto"/>
      <w:lang w:eastAsia="ar-SA"/>
    </w:rPr>
  </w:style>
  <w:style w:type="paragraph" w:customStyle="1" w:styleId="CM1">
    <w:name w:val="CM1"/>
    <w:basedOn w:val="Default"/>
    <w:next w:val="Default"/>
    <w:uiPriority w:val="99"/>
    <w:pPr>
      <w:spacing w:line="253" w:lineRule="atLeast"/>
      <w:ind w:left="0" w:firstLine="0"/>
      <w:jc w:val="left"/>
    </w:pPr>
    <w:rPr>
      <w:rFonts w:ascii="Arial" w:eastAsia="Calibri" w:hAnsi="Arial" w:cs="Arial"/>
      <w:color w:val="auto"/>
    </w:rPr>
  </w:style>
  <w:style w:type="paragraph" w:customStyle="1" w:styleId="readerfont">
    <w:name w:val="reader_font"/>
    <w:basedOn w:val="Normal"/>
    <w:uiPriority w:val="99"/>
    <w:pPr>
      <w:spacing w:before="100" w:beforeAutospacing="1" w:after="100" w:afterAutospacing="1"/>
      <w:ind w:left="0" w:firstLine="0"/>
      <w:jc w:val="left"/>
    </w:pPr>
    <w:rPr>
      <w:color w:val="auto"/>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20"/>
    </w:rPr>
  </w:style>
  <w:style w:type="character" w:customStyle="1" w:styleId="WW8Num3z0">
    <w:name w:val="WW8Num3z0"/>
    <w:rPr>
      <w:rFonts w:ascii="Times New Roman" w:hAnsi="Times New Roman" w:cs="Times New Roman"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sz w:val="20"/>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sz w:val="20"/>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7z0">
    <w:name w:val="WW8Num7z0"/>
    <w:rPr>
      <w:b/>
      <w:bC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color w:val="auto"/>
      <w:sz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1z0">
    <w:name w:val="WW8Num11z0"/>
  </w:style>
  <w:style w:type="character" w:customStyle="1" w:styleId="blackheader21">
    <w:name w:val="blackheader21"/>
    <w:rPr>
      <w:b/>
      <w:bCs/>
      <w:caps/>
      <w:color w:val="000000"/>
      <w:sz w:val="30"/>
      <w:szCs w:val="30"/>
    </w:rPr>
  </w:style>
  <w:style w:type="character" w:customStyle="1" w:styleId="aqj">
    <w:name w:val="aqj"/>
    <w:basedOn w:val="DefaultParagraphFont"/>
  </w:style>
  <w:style w:type="character" w:customStyle="1" w:styleId="ms-rtecustom-normaltext1">
    <w:name w:val="ms-rtecustom-normaltext1"/>
    <w:rPr>
      <w:rFonts w:ascii="Verdana" w:hAnsi="Verdana" w:cs="Verdana" w:hint="default"/>
      <w:color w:val="000000"/>
      <w:sz w:val="17"/>
      <w:szCs w:val="17"/>
      <w:u w:val="none"/>
    </w:rPr>
  </w:style>
  <w:style w:type="character" w:customStyle="1" w:styleId="spelle">
    <w:name w:val="spelle"/>
    <w:basedOn w:val="DefaultParagraphFont"/>
  </w:style>
  <w:style w:type="character" w:customStyle="1" w:styleId="cit">
    <w:name w:val="cit"/>
    <w:basedOn w:val="DefaultParagraphFont"/>
  </w:style>
  <w:style w:type="character" w:customStyle="1" w:styleId="doi1">
    <w:name w:val="doi1"/>
    <w:basedOn w:val="DefaultParagraphFont"/>
  </w:style>
  <w:style w:type="character" w:customStyle="1" w:styleId="fm-citation-ids-label">
    <w:name w:val="fm-citation-ids-label"/>
    <w:basedOn w:val="DefaultParagraphFont"/>
  </w:style>
  <w:style w:type="character" w:customStyle="1" w:styleId="kwd-text">
    <w:name w:val="kwd-text"/>
    <w:basedOn w:val="DefaultParagraphFont"/>
  </w:style>
  <w:style w:type="character" w:customStyle="1" w:styleId="citation-needed-content">
    <w:name w:val="citation-needed-content"/>
    <w:basedOn w:val="DefaultParagraphFont"/>
  </w:style>
  <w:style w:type="character" w:customStyle="1" w:styleId="mw-headline">
    <w:name w:val="mw-headline"/>
    <w:basedOn w:val="DefaultParagraphFont"/>
  </w:style>
  <w:style w:type="paragraph" w:customStyle="1" w:styleId="Pa4">
    <w:name w:val="Pa4"/>
    <w:basedOn w:val="Normal"/>
    <w:next w:val="Normal"/>
    <w:uiPriority w:val="99"/>
    <w:pPr>
      <w:autoSpaceDE w:val="0"/>
      <w:autoSpaceDN w:val="0"/>
      <w:adjustRightInd w:val="0"/>
      <w:spacing w:line="321" w:lineRule="atLeast"/>
      <w:ind w:left="0" w:firstLine="0"/>
      <w:jc w:val="left"/>
    </w:pPr>
    <w:rPr>
      <w:rFonts w:ascii="TUM Neue Helvetica 55 Regular" w:eastAsiaTheme="minorHAnsi" w:hAnsi="TUM Neue Helvetica 55 Regular" w:cstheme="minorBidi"/>
      <w:color w:val="auto"/>
      <w:lang w:val="en-GB"/>
    </w:rPr>
  </w:style>
  <w:style w:type="paragraph" w:customStyle="1" w:styleId="Pa1">
    <w:name w:val="Pa1"/>
    <w:basedOn w:val="Normal"/>
    <w:next w:val="Normal"/>
    <w:uiPriority w:val="99"/>
    <w:pPr>
      <w:autoSpaceDE w:val="0"/>
      <w:autoSpaceDN w:val="0"/>
      <w:adjustRightInd w:val="0"/>
      <w:spacing w:line="241" w:lineRule="atLeast"/>
      <w:ind w:left="0" w:firstLine="0"/>
      <w:jc w:val="left"/>
    </w:pPr>
    <w:rPr>
      <w:rFonts w:ascii="TUM Neue Helvetica 55 Regular" w:eastAsiaTheme="minorHAnsi" w:hAnsi="TUM Neue Helvetica 55 Regular" w:cstheme="minorBidi"/>
      <w:color w:val="auto"/>
      <w:lang w:val="en-GB"/>
    </w:rPr>
  </w:style>
  <w:style w:type="character" w:customStyle="1" w:styleId="blue-complex-underline">
    <w:name w:val="blue-complex-underline"/>
    <w:basedOn w:val="DefaultParagraphFont"/>
  </w:style>
  <w:style w:type="paragraph" w:customStyle="1" w:styleId="BodyMain">
    <w:name w:val="Body_Main"/>
    <w:basedOn w:val="Normal"/>
    <w:link w:val="BodyMainChar"/>
    <w:uiPriority w:val="99"/>
    <w:qFormat/>
    <w:pPr>
      <w:spacing w:before="240" w:line="360" w:lineRule="auto"/>
      <w:ind w:left="0" w:firstLine="374"/>
    </w:pPr>
    <w:rPr>
      <w:color w:val="auto"/>
      <w:szCs w:val="20"/>
    </w:rPr>
  </w:style>
  <w:style w:type="character" w:customStyle="1" w:styleId="BodyMainChar">
    <w:name w:val="Body_Main Char"/>
    <w:basedOn w:val="DefaultParagraphFont"/>
    <w:link w:val="BodyMain"/>
    <w:uiPriority w:val="99"/>
    <w:rPr>
      <w:rFonts w:eastAsia="Times New Roman"/>
      <w:sz w:val="24"/>
    </w:rPr>
  </w:style>
  <w:style w:type="character" w:customStyle="1" w:styleId="personname">
    <w:name w:val="person_name"/>
    <w:basedOn w:val="DefaultParagraphFont"/>
  </w:style>
  <w:style w:type="table" w:customStyle="1" w:styleId="PlainTable11">
    <w:name w:val="Plain Table 11"/>
    <w:basedOn w:val="TableNormal"/>
    <w:uiPriority w:val="4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2">
    <w:name w:val="Plain Table 42"/>
    <w:basedOn w:val="TableNormal"/>
    <w:uiPriority w:val="44"/>
    <w:rPr>
      <w:rFonts w:asciiTheme="minorHAnsi" w:eastAsiaTheme="minorHAnsi" w:hAnsiTheme="minorHAnsi" w:cstheme="minorBidi"/>
      <w:sz w:val="22"/>
      <w:szCs w:val="22"/>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2">
    <w:name w:val="Table Grid Light2"/>
    <w:basedOn w:val="TableNormal"/>
    <w:uiPriority w:val="40"/>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lspan">
    <w:name w:val="blspan"/>
    <w:basedOn w:val="DefaultParagraphFont"/>
  </w:style>
  <w:style w:type="paragraph" w:customStyle="1" w:styleId="position-relative">
    <w:name w:val="position-relative"/>
    <w:basedOn w:val="Normal"/>
    <w:pPr>
      <w:suppressAutoHyphens/>
      <w:spacing w:before="100" w:beforeAutospacing="1" w:after="100" w:afterAutospacing="1"/>
      <w:ind w:left="0" w:firstLine="0"/>
      <w:jc w:val="left"/>
    </w:pPr>
    <w:rPr>
      <w:color w:val="auto"/>
    </w:rPr>
  </w:style>
  <w:style w:type="paragraph" w:customStyle="1" w:styleId="AuthorList">
    <w:name w:val="Author List"/>
    <w:basedOn w:val="Normal"/>
    <w:pPr>
      <w:keepLines/>
      <w:suppressAutoHyphens/>
      <w:spacing w:line="480" w:lineRule="auto"/>
      <w:ind w:left="0" w:firstLine="0"/>
      <w:jc w:val="center"/>
    </w:pPr>
    <w:rPr>
      <w:color w:val="auto"/>
    </w:rPr>
  </w:style>
  <w:style w:type="paragraph" w:customStyle="1" w:styleId="AbstractText">
    <w:name w:val="Abstract Text"/>
    <w:basedOn w:val="Normal"/>
    <w:pPr>
      <w:suppressAutoHyphens/>
      <w:spacing w:line="480" w:lineRule="auto"/>
      <w:ind w:left="0" w:firstLine="0"/>
      <w:jc w:val="left"/>
    </w:pPr>
    <w:rPr>
      <w:color w:val="auto"/>
    </w:rPr>
  </w:style>
  <w:style w:type="paragraph" w:customStyle="1" w:styleId="TableHeading">
    <w:name w:val="Table Heading"/>
    <w:basedOn w:val="Normal"/>
    <w:next w:val="Normal"/>
    <w:pPr>
      <w:keepNext/>
      <w:keepLines/>
      <w:suppressAutoHyphens/>
      <w:spacing w:line="480" w:lineRule="auto"/>
      <w:ind w:left="0" w:firstLine="0"/>
      <w:jc w:val="left"/>
    </w:pPr>
    <w:rPr>
      <w:i/>
      <w:color w:val="auto"/>
    </w:rPr>
  </w:style>
  <w:style w:type="paragraph" w:customStyle="1" w:styleId="TableNumber">
    <w:name w:val="Table Number"/>
    <w:basedOn w:val="Normal"/>
    <w:next w:val="TableHeading"/>
    <w:pPr>
      <w:keepNext/>
      <w:keepLines/>
      <w:suppressAutoHyphens/>
      <w:spacing w:line="480" w:lineRule="auto"/>
      <w:ind w:left="0" w:firstLine="0"/>
      <w:jc w:val="left"/>
    </w:pPr>
    <w:rPr>
      <w:color w:val="auto"/>
    </w:rPr>
  </w:style>
  <w:style w:type="paragraph" w:customStyle="1" w:styleId="References">
    <w:name w:val="References"/>
    <w:basedOn w:val="Normal"/>
    <w:pPr>
      <w:suppressAutoHyphens/>
      <w:spacing w:line="480" w:lineRule="auto"/>
      <w:ind w:left="720" w:hanging="720"/>
      <w:jc w:val="left"/>
    </w:pPr>
    <w:rPr>
      <w:color w:val="auto"/>
    </w:rPr>
  </w:style>
  <w:style w:type="character" w:customStyle="1" w:styleId="jlqj4b">
    <w:name w:val="jlqj4b"/>
    <w:basedOn w:val="DefaultParagraphFont"/>
  </w:style>
  <w:style w:type="character" w:customStyle="1" w:styleId="Bodytext1">
    <w:name w:val="Body text|1_"/>
    <w:basedOn w:val="DefaultParagraphFont"/>
    <w:link w:val="Bodytext10"/>
    <w:rPr>
      <w:rFonts w:ascii="Arial" w:eastAsia="Arial" w:hAnsi="Arial" w:cs="Arial"/>
      <w:color w:val="333333"/>
      <w:sz w:val="18"/>
      <w:szCs w:val="18"/>
      <w:shd w:val="clear" w:color="auto" w:fill="FFFFFF"/>
    </w:rPr>
  </w:style>
  <w:style w:type="paragraph" w:customStyle="1" w:styleId="Bodytext10">
    <w:name w:val="Body text|1"/>
    <w:basedOn w:val="Normal"/>
    <w:link w:val="Bodytext1"/>
    <w:pPr>
      <w:widowControl w:val="0"/>
      <w:shd w:val="clear" w:color="auto" w:fill="FFFFFF"/>
      <w:spacing w:after="140" w:line="418" w:lineRule="auto"/>
      <w:ind w:left="0" w:firstLine="400"/>
      <w:jc w:val="left"/>
    </w:pPr>
    <w:rPr>
      <w:rFonts w:ascii="Arial" w:eastAsia="Arial" w:hAnsi="Arial" w:cs="Arial"/>
      <w:color w:val="333333"/>
      <w:sz w:val="18"/>
      <w:szCs w:val="18"/>
    </w:rPr>
  </w:style>
  <w:style w:type="paragraph" w:customStyle="1" w:styleId="muitypography-root">
    <w:name w:val="muitypography-root"/>
    <w:basedOn w:val="Normal"/>
    <w:pPr>
      <w:spacing w:before="100" w:beforeAutospacing="1" w:after="100" w:afterAutospacing="1"/>
      <w:ind w:left="0" w:firstLine="0"/>
      <w:jc w:val="left"/>
    </w:pPr>
    <w:rPr>
      <w:color w:val="auto"/>
    </w:rPr>
  </w:style>
  <w:style w:type="paragraph" w:customStyle="1" w:styleId="FigureCaption">
    <w:name w:val="Figure Caption"/>
    <w:basedOn w:val="ListParagraph"/>
    <w:qFormat/>
    <w:pPr>
      <w:spacing w:before="240" w:after="200" w:line="360" w:lineRule="auto"/>
      <w:ind w:left="0" w:firstLine="0"/>
      <w:jc w:val="center"/>
    </w:pPr>
    <w:rPr>
      <w:rFonts w:eastAsiaTheme="minorHAnsi" w:cs="Arial"/>
      <w:color w:val="auto"/>
      <w:sz w:val="22"/>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404040" w:themeColor="text1" w:themeTint="BF"/>
      <w:u w:val="single" w:color="7F7F7F"/>
    </w:rPr>
  </w:style>
  <w:style w:type="character" w:customStyle="1" w:styleId="IntenseReference1">
    <w:name w:val="Intense Reference1"/>
    <w:basedOn w:val="DefaultParagraphFont"/>
    <w:uiPriority w:val="32"/>
    <w:qFormat/>
    <w:rPr>
      <w:b/>
      <w:bCs/>
      <w:smallCaps/>
      <w:color w:val="auto"/>
      <w:spacing w:val="3"/>
      <w:u w:val="single"/>
    </w:rPr>
  </w:style>
  <w:style w:type="paragraph" w:customStyle="1" w:styleId="z-TopofForm1">
    <w:name w:val="z-Top of Form1"/>
    <w:basedOn w:val="Normal"/>
    <w:next w:val="Normal"/>
    <w:link w:val="z-TopofFormChar"/>
    <w:uiPriority w:val="99"/>
    <w:semiHidden/>
    <w:unhideWhenUsed/>
    <w:pPr>
      <w:pBdr>
        <w:bottom w:val="single" w:sz="6" w:space="1" w:color="auto"/>
      </w:pBdr>
      <w:ind w:left="0" w:firstLine="0"/>
      <w:jc w:val="center"/>
    </w:pPr>
    <w:rPr>
      <w:rFonts w:ascii="Arial" w:hAnsi="Arial" w:cs="Arial"/>
      <w:vanish/>
      <w:color w:val="auto"/>
      <w:sz w:val="16"/>
      <w:szCs w:val="16"/>
    </w:rPr>
  </w:style>
  <w:style w:type="character" w:customStyle="1" w:styleId="z-TopofFormChar">
    <w:name w:val="z-Top of Form Char"/>
    <w:basedOn w:val="DefaultParagraphFont"/>
    <w:link w:val="z-TopofForm1"/>
    <w:uiPriority w:val="99"/>
    <w:semiHidden/>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semiHidden/>
    <w:unhideWhenUsed/>
    <w:pPr>
      <w:pBdr>
        <w:top w:val="single" w:sz="6" w:space="1" w:color="auto"/>
      </w:pBdr>
      <w:ind w:left="0" w:firstLine="0"/>
      <w:jc w:val="center"/>
    </w:pPr>
    <w:rPr>
      <w:rFonts w:ascii="Arial" w:hAnsi="Arial" w:cs="Arial"/>
      <w:vanish/>
      <w:color w:val="auto"/>
      <w:sz w:val="16"/>
      <w:szCs w:val="16"/>
    </w:rPr>
  </w:style>
  <w:style w:type="character" w:customStyle="1" w:styleId="z-BottomofFormChar">
    <w:name w:val="z-Bottom of Form Char"/>
    <w:basedOn w:val="DefaultParagraphFont"/>
    <w:link w:val="z-BottomofForm1"/>
    <w:uiPriority w:val="99"/>
    <w:semiHidden/>
    <w:rPr>
      <w:rFonts w:ascii="Arial" w:eastAsia="Times New Roman" w:hAnsi="Arial" w:cs="Arial"/>
      <w:vanish/>
      <w:sz w:val="16"/>
      <w:szCs w:val="16"/>
    </w:rPr>
  </w:style>
  <w:style w:type="paragraph" w:customStyle="1" w:styleId="MDPI17abstract">
    <w:name w:val="MDPI_1.7_abstract"/>
    <w:next w:val="Normal"/>
    <w:qFormat/>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paragraph0">
    <w:name w:val="paragraph"/>
    <w:basedOn w:val="Normal"/>
    <w:pPr>
      <w:spacing w:before="100" w:beforeAutospacing="1" w:after="100" w:afterAutospacing="1"/>
      <w:ind w:left="0" w:firstLine="0"/>
      <w:jc w:val="left"/>
    </w:pPr>
    <w:rPr>
      <w:color w:val="auto"/>
      <w:lang w:val="en-CA"/>
    </w:rPr>
  </w:style>
  <w:style w:type="character" w:customStyle="1" w:styleId="normaltextrun">
    <w:name w:val="normaltextrun"/>
    <w:basedOn w:val="DefaultParagraphFont"/>
  </w:style>
  <w:style w:type="paragraph" w:customStyle="1" w:styleId="TTPTitle">
    <w:name w:val="TTP Title"/>
    <w:basedOn w:val="Normal"/>
    <w:next w:val="Normal"/>
    <w:qFormat/>
    <w:pPr>
      <w:autoSpaceDE w:val="0"/>
      <w:autoSpaceDN w:val="0"/>
      <w:spacing w:after="120"/>
      <w:ind w:left="0" w:firstLine="0"/>
      <w:jc w:val="center"/>
    </w:pPr>
    <w:rPr>
      <w:rFonts w:ascii="Arial" w:hAnsi="Arial" w:cs="Arial"/>
      <w:b/>
      <w:bCs/>
      <w:color w:val="auto"/>
      <w:sz w:val="30"/>
      <w:szCs w:val="30"/>
    </w:rPr>
  </w:style>
  <w:style w:type="table" w:customStyle="1" w:styleId="ListTable6Colorful4">
    <w:name w:val="List Table 6 Colorful4"/>
    <w:basedOn w:val="TableNormal"/>
    <w:uiPriority w:val="51"/>
    <w:rPr>
      <w:rFonts w:asciiTheme="minorHAnsi" w:eastAsiaTheme="minorHAnsi" w:hAnsiTheme="minorHAnsi" w:cstheme="minorBidi"/>
      <w:color w:val="000000" w:themeColor="text1"/>
      <w:sz w:val="22"/>
      <w:szCs w:val="22"/>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ibliography">
    <w:name w:val="Bibliography"/>
    <w:basedOn w:val="Normal"/>
    <w:next w:val="Normal"/>
    <w:uiPriority w:val="37"/>
    <w:unhideWhenUsed/>
    <w:rsid w:val="006349D5"/>
  </w:style>
  <w:style w:type="table" w:styleId="PlainTable2">
    <w:name w:val="Plain Table 2"/>
    <w:basedOn w:val="TableNormal"/>
    <w:uiPriority w:val="42"/>
    <w:rsid w:val="0002384A"/>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
    <w:name w:val="List Table 2"/>
    <w:basedOn w:val="TableNormal"/>
    <w:uiPriority w:val="47"/>
    <w:rsid w:val="0002384A"/>
    <w:rPr>
      <w:rFonts w:asciiTheme="minorHAnsi" w:eastAsia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F439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unhideWhenUsed/>
    <w:rsid w:val="00387AB6"/>
    <w:rPr>
      <w:color w:val="605E5C"/>
      <w:shd w:val="clear" w:color="auto" w:fill="E1DFDD"/>
    </w:rPr>
  </w:style>
  <w:style w:type="paragraph" w:styleId="Revision">
    <w:name w:val="Revision"/>
    <w:hidden/>
    <w:uiPriority w:val="99"/>
    <w:semiHidden/>
    <w:rsid w:val="008F5F53"/>
    <w:rPr>
      <w:rFonts w:eastAsiaTheme="minorHAnsi" w:cstheme="minorBidi"/>
      <w:sz w:val="24"/>
      <w:szCs w:val="22"/>
    </w:rPr>
  </w:style>
  <w:style w:type="character" w:styleId="SubtleEmphasis">
    <w:name w:val="Subtle Emphasis"/>
    <w:basedOn w:val="DefaultParagraphFont"/>
    <w:uiPriority w:val="19"/>
    <w:qFormat/>
    <w:rsid w:val="009C5A7C"/>
    <w:rPr>
      <w:i/>
      <w:iCs/>
      <w:color w:val="808080" w:themeColor="text1" w:themeTint="7F"/>
    </w:rPr>
  </w:style>
  <w:style w:type="character" w:styleId="IntenseEmphasis">
    <w:name w:val="Intense Emphasis"/>
    <w:basedOn w:val="DefaultParagraphFont"/>
    <w:uiPriority w:val="21"/>
    <w:qFormat/>
    <w:rsid w:val="009C5A7C"/>
    <w:rPr>
      <w:b/>
      <w:bCs/>
      <w:i/>
      <w:iCs/>
      <w:color w:val="4472C4" w:themeColor="accent1"/>
    </w:rPr>
  </w:style>
  <w:style w:type="character" w:styleId="SubtleReference">
    <w:name w:val="Subtle Reference"/>
    <w:basedOn w:val="DefaultParagraphFont"/>
    <w:uiPriority w:val="31"/>
    <w:qFormat/>
    <w:rsid w:val="009C5A7C"/>
    <w:rPr>
      <w:smallCaps/>
      <w:color w:val="ED7D31" w:themeColor="accent2"/>
      <w:u w:val="single"/>
    </w:rPr>
  </w:style>
  <w:style w:type="character" w:styleId="IntenseReference">
    <w:name w:val="Intense Reference"/>
    <w:basedOn w:val="DefaultParagraphFont"/>
    <w:uiPriority w:val="32"/>
    <w:qFormat/>
    <w:rsid w:val="009C5A7C"/>
    <w:rPr>
      <w:b/>
      <w:bCs/>
      <w:smallCaps/>
      <w:color w:val="ED7D31" w:themeColor="accent2"/>
      <w:spacing w:val="5"/>
      <w:u w:val="single"/>
    </w:rPr>
  </w:style>
  <w:style w:type="character" w:styleId="BookTitle0">
    <w:name w:val="Book Title"/>
    <w:basedOn w:val="DefaultParagraphFont"/>
    <w:uiPriority w:val="33"/>
    <w:qFormat/>
    <w:rsid w:val="009C5A7C"/>
    <w:rPr>
      <w:b/>
      <w:bCs/>
      <w:smallCaps/>
      <w:spacing w:val="5"/>
    </w:rPr>
  </w:style>
  <w:style w:type="paragraph" w:styleId="TOCHeading">
    <w:name w:val="TOC Heading"/>
    <w:basedOn w:val="Heading1"/>
    <w:next w:val="Normal"/>
    <w:uiPriority w:val="39"/>
    <w:unhideWhenUsed/>
    <w:qFormat/>
    <w:rsid w:val="009C5A7C"/>
    <w:pPr>
      <w:keepNext/>
      <w:keepLines/>
      <w:widowControl/>
      <w:numPr>
        <w:numId w:val="0"/>
      </w:numPr>
      <w:tabs>
        <w:tab w:val="clear" w:pos="810"/>
      </w:tabs>
      <w:autoSpaceDE/>
      <w:autoSpaceDN/>
      <w:spacing w:before="480" w:line="276" w:lineRule="auto"/>
      <w:jc w:val="left"/>
    </w:pPr>
    <w:rPr>
      <w:rFonts w:asciiTheme="majorHAnsi" w:eastAsiaTheme="majorEastAsia" w:hAnsiTheme="majorHAnsi" w:cstheme="majorBidi"/>
      <w:color w:val="2F5496" w:themeColor="accent1" w:themeShade="BF"/>
      <w:w w:val="100"/>
      <w:sz w:val="28"/>
      <w:szCs w:val="28"/>
      <w:lang w:val="en-US" w:eastAsia="ja-JP"/>
    </w:rPr>
  </w:style>
  <w:style w:type="character" w:customStyle="1" w:styleId="Adtyne">
    <w:name w:val="Adtyne"/>
    <w:basedOn w:val="DefaultParagraphFont"/>
    <w:uiPriority w:val="99"/>
    <w:rsid w:val="009C5A7C"/>
  </w:style>
  <w:style w:type="table" w:styleId="ListTable6Colorful-Accent3">
    <w:name w:val="List Table 6 Colorful Accent 3"/>
    <w:basedOn w:val="TableNormal"/>
    <w:uiPriority w:val="51"/>
    <w:rsid w:val="00C976C7"/>
    <w:rPr>
      <w:rFonts w:asciiTheme="minorHAnsi" w:eastAsiaTheme="minorHAnsi" w:hAnsiTheme="minorHAnsi" w:cstheme="minorBidi"/>
      <w:color w:val="7B7B7B" w:themeColor="accent3" w:themeShade="BF"/>
      <w:sz w:val="22"/>
      <w:szCs w:val="22"/>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1">
    <w:name w:val="Grid Table 41"/>
    <w:basedOn w:val="TableNormal"/>
    <w:uiPriority w:val="49"/>
    <w:rsid w:val="00D02E9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rname">
    <w:name w:val="surname"/>
    <w:basedOn w:val="DefaultParagraphFont"/>
    <w:qFormat/>
    <w:rsid w:val="0076000D"/>
  </w:style>
  <w:style w:type="character" w:customStyle="1" w:styleId="ilad">
    <w:name w:val="il_ad"/>
    <w:rsid w:val="001B4D3C"/>
    <w:rPr>
      <w:rFonts w:ascii="Times New Roman" w:eastAsia="SimSun" w:hAnsi="Times New Roman" w:cs="Times New Roman"/>
    </w:rPr>
  </w:style>
  <w:style w:type="character" w:customStyle="1" w:styleId="resultscount">
    <w:name w:val="resultscount"/>
    <w:basedOn w:val="DefaultParagraphFont"/>
    <w:rsid w:val="00313598"/>
  </w:style>
  <w:style w:type="table" w:customStyle="1" w:styleId="GridTable7Colorful-Accent51">
    <w:name w:val="Grid Table 7 Colorful - Accent 51"/>
    <w:basedOn w:val="TableNormal"/>
    <w:uiPriority w:val="52"/>
    <w:rsid w:val="00313598"/>
    <w:rPr>
      <w:rFonts w:asciiTheme="minorHAnsi" w:eastAsiaTheme="minorHAnsi" w:hAnsiTheme="minorHAnsi" w:cstheme="minorBidi"/>
      <w:color w:val="2E74B5" w:themeColor="accent5" w:themeShade="BF"/>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PlainTable51">
    <w:name w:val="Plain Table 51"/>
    <w:basedOn w:val="TableNormal"/>
    <w:uiPriority w:val="45"/>
    <w:rsid w:val="00313598"/>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electable-text">
    <w:name w:val="selectable-text"/>
    <w:basedOn w:val="Normal"/>
    <w:rsid w:val="00313598"/>
    <w:pPr>
      <w:spacing w:before="100" w:beforeAutospacing="1" w:after="100" w:afterAutospacing="1"/>
      <w:ind w:left="0" w:firstLine="0"/>
      <w:jc w:val="left"/>
    </w:pPr>
    <w:rPr>
      <w:color w:val="auto"/>
    </w:rPr>
  </w:style>
  <w:style w:type="character" w:customStyle="1" w:styleId="selectable-text1">
    <w:name w:val="selectable-text1"/>
    <w:basedOn w:val="DefaultParagraphFont"/>
    <w:rsid w:val="00313598"/>
  </w:style>
  <w:style w:type="paragraph" w:customStyle="1" w:styleId="ListParagraph1">
    <w:name w:val="List Paragraph1"/>
    <w:basedOn w:val="Normal"/>
    <w:rsid w:val="0059535D"/>
    <w:pPr>
      <w:spacing w:after="200" w:line="276" w:lineRule="auto"/>
      <w:ind w:left="720" w:firstLine="0"/>
      <w:contextualSpacing/>
      <w:jc w:val="left"/>
    </w:pPr>
    <w:rPr>
      <w:rFonts w:ascii="Calibri" w:eastAsia="Calibri" w:hAnsi="Calibri" w:cs="Arial"/>
      <w:color w:val="auto"/>
      <w:sz w:val="22"/>
      <w:szCs w:val="22"/>
    </w:rPr>
  </w:style>
  <w:style w:type="character" w:customStyle="1" w:styleId="css-0">
    <w:name w:val="css-0"/>
    <w:basedOn w:val="DefaultParagraphFont"/>
    <w:rsid w:val="00192B35"/>
  </w:style>
  <w:style w:type="character" w:customStyle="1" w:styleId="css-rh820s">
    <w:name w:val="css-rh820s"/>
    <w:basedOn w:val="DefaultParagraphFont"/>
    <w:rsid w:val="00192B35"/>
  </w:style>
  <w:style w:type="character" w:customStyle="1" w:styleId="css-1eh0vfs">
    <w:name w:val="css-1eh0vfs"/>
    <w:basedOn w:val="DefaultParagraphFont"/>
    <w:rsid w:val="00192B35"/>
  </w:style>
  <w:style w:type="character" w:customStyle="1" w:styleId="top-tip-scholar">
    <w:name w:val="top-tip-scholar"/>
    <w:basedOn w:val="DefaultParagraphFont"/>
    <w:rsid w:val="005A08D1"/>
  </w:style>
  <w:style w:type="table" w:styleId="LightShading">
    <w:name w:val="Light Shading"/>
    <w:basedOn w:val="TableNormal"/>
    <w:uiPriority w:val="60"/>
    <w:rsid w:val="00355356"/>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31">
    <w:name w:val="Plain Table 31"/>
    <w:basedOn w:val="TableNormal"/>
    <w:uiPriority w:val="43"/>
    <w:rsid w:val="009B5C53"/>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31">
    <w:name w:val="Grid Table 31"/>
    <w:basedOn w:val="TableNormal"/>
    <w:uiPriority w:val="48"/>
    <w:rsid w:val="009B5C53"/>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5Dark1">
    <w:name w:val="Grid Table 5 Dark1"/>
    <w:basedOn w:val="TableNormal"/>
    <w:uiPriority w:val="50"/>
    <w:rsid w:val="009B5C53"/>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31">
    <w:name w:val="Grid Table 5 Dark - Accent 31"/>
    <w:basedOn w:val="TableNormal"/>
    <w:uiPriority w:val="50"/>
    <w:rsid w:val="009B5C53"/>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6Colorful-Accent31">
    <w:name w:val="Grid Table 6 Colorful - Accent 31"/>
    <w:basedOn w:val="TableNormal"/>
    <w:uiPriority w:val="51"/>
    <w:rsid w:val="009B5C53"/>
    <w:rPr>
      <w:rFonts w:asciiTheme="minorHAnsi" w:eastAsiaTheme="minorHAnsi" w:hAnsiTheme="minorHAnsi" w:cstheme="minorBidi"/>
      <w:color w:val="7B7B7B" w:themeColor="accent3" w:themeShade="BF"/>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1">
    <w:name w:val="Grid Table 6 Colorful1"/>
    <w:basedOn w:val="TableNormal"/>
    <w:uiPriority w:val="51"/>
    <w:rsid w:val="009B5C53"/>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z-TopofForm">
    <w:name w:val="HTML Top of Form"/>
    <w:basedOn w:val="Normal"/>
    <w:next w:val="Normal"/>
    <w:hidden/>
    <w:uiPriority w:val="99"/>
    <w:semiHidden/>
    <w:unhideWhenUsed/>
    <w:rsid w:val="00AC4554"/>
    <w:pPr>
      <w:pBdr>
        <w:bottom w:val="single" w:sz="6" w:space="1" w:color="auto"/>
      </w:pBdr>
      <w:ind w:left="0" w:firstLine="0"/>
      <w:jc w:val="center"/>
    </w:pPr>
    <w:rPr>
      <w:rFonts w:ascii="Arial" w:hAnsi="Arial" w:cs="Arial"/>
      <w:vanish/>
      <w:color w:val="auto"/>
      <w:sz w:val="16"/>
      <w:szCs w:val="16"/>
    </w:rPr>
  </w:style>
  <w:style w:type="character" w:customStyle="1" w:styleId="z-TopofFormChar1">
    <w:name w:val="z-Top of Form Char1"/>
    <w:basedOn w:val="DefaultParagraphFont"/>
    <w:uiPriority w:val="99"/>
    <w:semiHidden/>
    <w:rsid w:val="00AC4554"/>
    <w:rPr>
      <w:rFonts w:ascii="Arial" w:eastAsia="Times New Roman" w:hAnsi="Arial" w:cs="Arial"/>
      <w:vanish/>
      <w:color w:val="000000"/>
      <w:sz w:val="16"/>
      <w:szCs w:val="16"/>
    </w:rPr>
  </w:style>
  <w:style w:type="paragraph" w:customStyle="1" w:styleId="Table">
    <w:name w:val="Table"/>
    <w:basedOn w:val="Normal"/>
    <w:uiPriority w:val="99"/>
    <w:qFormat/>
    <w:rsid w:val="00AA386F"/>
    <w:pPr>
      <w:spacing w:line="480" w:lineRule="auto"/>
      <w:ind w:left="0" w:firstLine="0"/>
      <w:jc w:val="left"/>
    </w:pPr>
    <w:rPr>
      <w:rFonts w:eastAsiaTheme="minorHAnsi"/>
      <w:color w:val="auto"/>
    </w:rPr>
  </w:style>
  <w:style w:type="table" w:customStyle="1" w:styleId="TableGrid2">
    <w:name w:val="TableGrid2"/>
    <w:rsid w:val="00AA386F"/>
    <w:rPr>
      <w:rFonts w:asciiTheme="minorHAnsi" w:eastAsia="Times New Roman"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6395">
      <w:bodyDiv w:val="1"/>
      <w:marLeft w:val="0"/>
      <w:marRight w:val="0"/>
      <w:marTop w:val="0"/>
      <w:marBottom w:val="0"/>
      <w:divBdr>
        <w:top w:val="none" w:sz="0" w:space="0" w:color="auto"/>
        <w:left w:val="none" w:sz="0" w:space="0" w:color="auto"/>
        <w:bottom w:val="none" w:sz="0" w:space="0" w:color="auto"/>
        <w:right w:val="none" w:sz="0" w:space="0" w:color="auto"/>
      </w:divBdr>
    </w:div>
    <w:div w:id="437525765">
      <w:bodyDiv w:val="1"/>
      <w:marLeft w:val="0"/>
      <w:marRight w:val="0"/>
      <w:marTop w:val="0"/>
      <w:marBottom w:val="0"/>
      <w:divBdr>
        <w:top w:val="none" w:sz="0" w:space="0" w:color="auto"/>
        <w:left w:val="none" w:sz="0" w:space="0" w:color="auto"/>
        <w:bottom w:val="none" w:sz="0" w:space="0" w:color="auto"/>
        <w:right w:val="none" w:sz="0" w:space="0" w:color="auto"/>
      </w:divBdr>
    </w:div>
    <w:div w:id="742026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ationalrasd.org/" TargetMode="External"/><Relationship Id="rId13" Type="http://schemas.openxmlformats.org/officeDocument/2006/relationships/image" Target="media/image2.jpeg"/><Relationship Id="rId18" Type="http://schemas.openxmlformats.org/officeDocument/2006/relationships/hyperlink" Target="https://doi.org/10.1257/jep.11.2.97"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doi.org/10.4337/roke.2022.01.02" TargetMode="External"/><Relationship Id="rId7" Type="http://schemas.openxmlformats.org/officeDocument/2006/relationships/endnotes" Target="endnotes.xml"/><Relationship Id="rId12" Type="http://schemas.openxmlformats.org/officeDocument/2006/relationships/hyperlink" Target="https://journals.internationalrasd.org/index.php/pjhss/index" TargetMode="External"/><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creativecommons.org/licenses/by-nc/4.0/" TargetMode="External"/><Relationship Id="rId20" Type="http://schemas.openxmlformats.org/officeDocument/2006/relationships/hyperlink" Target="https://doi.org/10.1177/00031224166396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internationalrasd.org/index.php/pjhs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hina@bradford.ac.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s://doi.org/10.1111/j.1541-0072.1979.tb01351.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laiba.Anvar@gmail.com"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Eel60</b:Tag>
    <b:SourceType>JournalArticle</b:SourceType>
    <b:Guid>{1BD0F7F2-DDA0-4786-803D-736D0F45FDBC}</b:Guid>
    <b:Title>The Meaning of Modern Business</b:Title>
    <b:Year>1960</b:Year>
    <b:JournalName>New York: Columbia University Press</b:JournalName>
    <b:Pages>vol 54(3)</b:Pages>
    <b:Author>
      <b:Author>
        <b:NameList>
          <b:Person>
            <b:Last>Eells</b:Last>
            <b:First>Richard</b:First>
          </b:Person>
        </b:NameList>
      </b:Author>
    </b:Author>
    <b:RefOrder>4</b:RefOrder>
  </b:Source>
  <b:Source>
    <b:Tag>Ber32</b:Tag>
    <b:SourceType>Book</b:SourceType>
    <b:Guid>{D579F4E5-5A82-4932-9130-D970AAF1893D}</b:Guid>
    <b:Author>
      <b:Author>
        <b:NameList>
          <b:Person>
            <b:Last>Berle</b:Last>
            <b:First>A.</b:First>
          </b:Person>
          <b:Person>
            <b:Last>Means</b:Last>
            <b:First>G.</b:First>
            <b:Middle>C.</b:Middle>
          </b:Person>
        </b:NameList>
      </b:Author>
    </b:Author>
    <b:Title>The Modern Corporation and Private Property</b:Title>
    <b:Year>1932</b:Year>
    <b:City>New York</b:City>
    <b:Publisher>MacMilla</b:Publisher>
    <b:RefOrder>5</b:RefOrder>
  </b:Source>
  <b:Source>
    <b:Tag>Wri97</b:Tag>
    <b:SourceType>JournalArticle</b:SourceType>
    <b:Guid>{99862F44-2213-4F26-ACB1-14083DE77068}</b:Guid>
    <b:Author>
      <b:Author>
        <b:NameList>
          <b:Person>
            <b:Last>Wright</b:Last>
            <b:First>P.</b:First>
          </b:Person>
          <b:Person>
            <b:Last>Ferris</b:Last>
            <b:First>S.</b:First>
            <b:Middle>P.</b:Middle>
          </b:Person>
        </b:NameList>
      </b:Author>
    </b:Author>
    <b:Title>Agency Conflict and Corporate Strategy</b:Title>
    <b:JournalName>Strategic Management Journal</b:JournalName>
    <b:Year>1997</b:Year>
    <b:Pages>77-83</b:Pages>
    <b:RefOrder>6</b:RefOrder>
  </b:Source>
  <b:Source>
    <b:Tag>Eas84</b:Tag>
    <b:SourceType>JournalArticle</b:SourceType>
    <b:Guid>{FE8FBAF3-9D06-4A05-A7CD-FFC8DD11965D}</b:Guid>
    <b:Author>
      <b:Author>
        <b:NameList>
          <b:Person>
            <b:Last>Easterbrook</b:Last>
            <b:First>F.</b:First>
            <b:Middle>H.</b:Middle>
          </b:Person>
        </b:NameList>
      </b:Author>
    </b:Author>
    <b:Title>Two Agency-Cost Explanations of Dividends</b:Title>
    <b:JournalName>American Economic Review</b:JournalName>
    <b:Year>1984</b:Year>
    <b:Pages>650-659</b:Pages>
    <b:RefOrder>7</b:RefOrder>
  </b:Source>
  <b:Source>
    <b:Tag>Lan89</b:Tag>
    <b:SourceType>JournalArticle</b:SourceType>
    <b:Guid>{2CF101FD-A01B-4EA8-A501-915495EE722A}</b:Guid>
    <b:Author>
      <b:Author>
        <b:NameList>
          <b:Person>
            <b:Last>Lang</b:Last>
            <b:First>L.</b:First>
            <b:Middle>H.</b:Middle>
          </b:Person>
          <b:Person>
            <b:Last>Litzenberger</b:Last>
            <b:First>R.</b:First>
            <b:Middle>H.</b:Middle>
          </b:Person>
        </b:NameList>
      </b:Author>
    </b:Author>
    <b:Title>Dividend Announcements:Cash Flow Signaling Vs. Free Cash Flow Hypothesis?</b:Title>
    <b:JournalName>Journal of Financial Economics</b:JournalName>
    <b:Year>1989</b:Year>
    <b:Pages>181-192</b:Pages>
    <b:RefOrder>8</b:RefOrder>
  </b:Source>
  <b:Source>
    <b:Tag>Boa</b:Tag>
    <b:SourceType>JournalArticle</b:SourceType>
    <b:Guid>{FAF50AD3-6A03-4846-B652-2C0B5AC88FC0}</b:Guid>
    <b:Title>Board of Director Involvement in Restructuring: The Effects of Board versus Managerial Controls and Characteristics</b:Title>
    <b:JournalName>Strategic Management Journal</b:JournalName>
    <b:Pages>33-50</b:Pages>
    <b:Author>
      <b:Author>
        <b:NameList>
          <b:Person>
            <b:Last>Johnson</b:Last>
            <b:First>Richard</b:First>
            <b:Middle>A.</b:Middle>
          </b:Person>
          <b:Person>
            <b:Last>Hoskisson</b:Last>
            <b:First>Robert</b:First>
            <b:Middle>E.</b:Middle>
          </b:Person>
          <b:Person>
            <b:Last>Hitt</b:Last>
            <b:First>Michael</b:First>
            <b:Middle>A.</b:Middle>
          </b:Person>
        </b:NameList>
      </b:Author>
    </b:Author>
    <b:Year>1993</b:Year>
    <b:RefOrder>9</b:RefOrder>
  </b:Source>
  <b:Source>
    <b:Tag>Bet93</b:Tag>
    <b:SourceType>JournalArticle</b:SourceType>
    <b:Guid>{32369CBF-7FFB-4862-8A27-9882DF45A641}</b:Guid>
    <b:Author>
      <b:Author>
        <b:NameList>
          <b:Person>
            <b:Last>Bethel</b:Last>
            <b:First>Jennifer</b:First>
            <b:Middle>E.</b:Middle>
          </b:Person>
          <b:Person>
            <b:Last>Liebeskind</b:Last>
            <b:First>Julia</b:First>
          </b:Person>
        </b:NameList>
      </b:Author>
    </b:Author>
    <b:Title>The Effects of Ownership Structure on Corporate Restructuring</b:Title>
    <b:JournalName>Strategic Management Journal</b:JournalName>
    <b:Year>1993</b:Year>
    <b:Pages>15-31</b:Pages>
    <b:RefOrder>10</b:RefOrder>
  </b:Source>
  <b:Source>
    <b:Tag>Agr</b:Tag>
    <b:SourceType>JournalArticle</b:SourceType>
    <b:Guid>{63BCAC71-2061-4F6E-8702-11C5AE67CFA2}</b:Guid>
    <b:Author>
      <b:Author>
        <b:NameList>
          <b:Person>
            <b:Last>Agrawal</b:Last>
            <b:First>Anup</b:First>
          </b:Person>
          <b:Person>
            <b:Last>Mandelker</b:Last>
            <b:First>Gershon</b:First>
            <b:Middle>N.</b:Middle>
          </b:Person>
        </b:NameList>
      </b:Author>
    </b:Author>
    <b:Title>Large Shareholders and Monitering of Managers: The case of Antitakeover Charter Amendments</b:Title>
    <b:JournalName>Journal of Financial and Quantative Analysis</b:JournalName>
    <b:Year>1990</b:Year>
    <b:Pages>143-161</b:Pages>
    <b:RefOrder>11</b:RefOrder>
  </b:Source>
  <b:Source>
    <b:Tag>Hil88</b:Tag>
    <b:SourceType>JournalArticle</b:SourceType>
    <b:Guid>{EC6450B9-95A8-4497-9002-26AA80BA0560}</b:Guid>
    <b:Author>
      <b:Author>
        <b:NameList>
          <b:Person>
            <b:Last>Hill</b:Last>
            <b:First>C.</b:First>
            <b:Middle>W.L.</b:Middle>
          </b:Person>
          <b:Person>
            <b:Last>Snell</b:Last>
            <b:First>Scott</b:First>
            <b:Middle>A.</b:Middle>
          </b:Person>
        </b:NameList>
      </b:Author>
    </b:Author>
    <b:Title>External Control, Corporate Strategy anf Firm Performance in Research Incentive Industeries</b:Title>
    <b:JournalName>Strategic Management Journal</b:JournalName>
    <b:Year>1988</b:Year>
    <b:Pages>577-590</b:Pages>
    <b:RefOrder>12</b:RefOrder>
  </b:Source>
  <b:Source>
    <b:Tag>Ami81</b:Tag>
    <b:SourceType>JournalArticle</b:SourceType>
    <b:Guid>{0E547401-2C85-4CAA-A9DC-49F1B3258611}</b:Guid>
    <b:Author>
      <b:Author>
        <b:NameList>
          <b:Person>
            <b:Last>Amihud</b:Last>
            <b:First>Y.</b:First>
          </b:Person>
          <b:Person>
            <b:Last>Lev</b:Last>
            <b:First>B.</b:First>
          </b:Person>
        </b:NameList>
      </b:Author>
    </b:Author>
    <b:Title>Risk Reduction as a Managerial Motive for Conglomerate Mergers</b:Title>
    <b:JournalName>Bell Journal of Economics</b:JournalName>
    <b:Year>1981</b:Year>
    <b:Pages>605-617</b:Pages>
    <b:RefOrder>13</b:RefOrder>
  </b:Source>
  <b:Source>
    <b:Tag>Kro96</b:Tag>
    <b:SourceType>JournalArticle</b:SourceType>
    <b:Guid>{9CC2BA1C-1DF8-410B-8855-D8A1D15B38CE}</b:Guid>
    <b:Author>
      <b:Author>
        <b:NameList>
          <b:Person>
            <b:Last>Kroll</b:Last>
            <b:First>M.</b:First>
          </b:Person>
          <b:Person>
            <b:Last>Wright</b:Last>
            <b:First>P.</b:First>
          </b:Person>
          <b:Person>
            <b:Last>Toombs</b:Last>
            <b:First>L.</b:First>
          </b:Person>
          <b:Person>
            <b:Last>Leavell</b:Last>
            <b:First>H.</b:First>
          </b:Person>
        </b:NameList>
      </b:Author>
    </b:Author>
    <b:Title>Form of Control-A critical Determinant of Aquisition Performance and CEO Rewards</b:Title>
    <b:JournalName>Strategic Management Journal</b:JournalName>
    <b:Year>1997</b:Year>
    <b:Pages>85-96</b:Pages>
    <b:RefOrder>14</b:RefOrder>
  </b:Source>
  <b:Source>
    <b:Tag>Man88</b:Tag>
    <b:SourceType>JournalArticle</b:SourceType>
    <b:Guid>{68088445-2468-454C-A87B-40CB5AA2013B}</b:Guid>
    <b:Title>Managerial Control of Voting Rights: Financing Policies and the Market for Corporate Control</b:Title>
    <b:JournalName>Journal of Financial Economics</b:JournalName>
    <b:Year>1988</b:Year>
    <b:Pages>25-54</b:Pages>
    <b:Author>
      <b:Author>
        <b:NameList>
          <b:Person>
            <b:Last>Stulz</b:Last>
            <b:First>R.</b:First>
          </b:Person>
        </b:NameList>
      </b:Author>
    </b:Author>
    <b:RefOrder>15</b:RefOrder>
  </b:Source>
  <b:Source>
    <b:Tag>Bar</b:Tag>
    <b:SourceType>JournalArticle</b:SourceType>
    <b:Guid>{B463B61A-199A-4885-AFFF-8C75CDBB20C2}</b:Guid>
    <b:Author>
      <b:Author>
        <b:NameList>
          <b:Person>
            <b:Last>Barbosa</b:Last>
            <b:First>Natalia</b:First>
          </b:Person>
          <b:Person>
            <b:Last>Louri</b:Last>
            <b:First>Helen</b:First>
          </b:Person>
        </b:NameList>
      </b:Author>
    </b:Author>
    <b:Title>On the Determinants of Multinationals Ownership Preferences: Evidence from Greece and Portugal</b:Title>
    <b:Pages>493-415</b:Pages>
    <b:JournalName>International Journal of Industrial Organization</b:JournalName>
    <b:Year>2002</b:Year>
    <b:RefOrder>16</b:RefOrder>
  </b:Source>
  <b:Source>
    <b:Tag>Shl86</b:Tag>
    <b:SourceType>JournalArticle</b:SourceType>
    <b:Guid>{2A8226FC-D946-42D3-8BEC-3D9203860F5B}</b:Guid>
    <b:Title>Large Shareholders and Corporate Control</b:Title>
    <b:JournalName>journal of political economy</b:JournalName>
    <b:Year>1986</b:Year>
    <b:Pages>vol 94 (3)</b:Pages>
    <b:Author>
      <b:Author>
        <b:NameList>
          <b:Person>
            <b:Last>Shleifer</b:Last>
          </b:Person>
          <b:Person>
            <b:Last>Andrei</b:Last>
          </b:Person>
          <b:Person>
            <b:Last> Vishny</b:Last>
            <b:First>Robert</b:First>
          </b:Person>
        </b:NameList>
      </b:Author>
    </b:Author>
    <b:RefOrder>17</b:RefOrder>
  </b:Source>
  <b:Source xmlns:b="http://schemas.openxmlformats.org/officeDocument/2006/bibliography">
    <b:Tag>Wri96</b:Tag>
    <b:SourceType>JournalArticle</b:SourceType>
    <b:Guid>{4F20B9EE-7DBF-48EB-8A22-1219992EBE02}</b:Guid>
    <b:Author>
      <b:Author>
        <b:NameList>
          <b:Person>
            <b:Last>Wright</b:Last>
            <b:First>Peter</b:First>
          </b:Person>
          <b:Person>
            <b:Last>Ferris</b:Last>
            <b:First>Stephen</b:First>
            <b:Middle>P.</b:Middle>
          </b:Person>
          <b:Person>
            <b:Last>Sarin</b:Last>
            <b:First>Atulya</b:First>
          </b:Person>
          <b:Person>
            <b:Last>Awasthi</b:Last>
            <b:First>Vidya</b:First>
          </b:Person>
        </b:NameList>
      </b:Author>
    </b:Author>
    <b:Title>"Impact of Corporate Insider, Blockholder,and Institutional Equity Ownership on Firm Risk-Taking</b:Title>
    <b:Year>1996</b:Year>
    <b:JournalName>Academy of Management Journal</b:JournalName>
    <b:Pages>441-463</b:Pages>
    <b:RefOrder>18</b:RefOrder>
  </b:Source>
  <b:Source>
    <b:Tag>Cum88</b:Tag>
    <b:SourceType>JournalArticle</b:SourceType>
    <b:Guid>{E1CDE12E-9BDB-4473-B0E8-5CAE9F9D162B}</b:Guid>
    <b:Title>The Relationship between Risk and Return: Evidence for Property-Liability Insurance Stocks </b:Title>
    <b:JournalName>The journal of risk and insurance</b:JournalName>
    <b:Year>1988</b:Year>
    <b:Pages>vol 55 (1) pp 15-31</b:Pages>
    <b:Author>
      <b:Author>
        <b:NameList>
          <b:Person>
            <b:Last>Cummins</b:Last>
            <b:First>J.David</b:First>
          </b:Person>
          <b:Person>
            <b:Last>Harrington</b:Last>
            <b:First>Scott E.</b:First>
          </b:Person>
        </b:NameList>
      </b:Author>
    </b:Author>
    <b:RefOrder>19</b:RefOrder>
  </b:Source>
  <b:Source>
    <b:Tag>Mer77</b:Tag>
    <b:SourceType>JournalArticle</b:SourceType>
    <b:Guid>{33E83B89-8307-4533-B79F-C6D920CA3042}</b:Guid>
    <b:Title>An Analytic Derivation of the Cost of Deposit Insurance and Loan Guarantees</b:Title>
    <b:JournalName>Journal of banking and finance</b:JournalName>
    <b:Year>1977</b:Year>
    <b:Pages>3-11</b:Pages>
    <b:Author>
      <b:Author>
        <b:NameList>
          <b:Person>
            <b:Last>Merton</b:Last>
            <b:First>Robert c</b:First>
          </b:Person>
        </b:NameList>
      </b:Author>
    </b:Author>
    <b:RefOrder>20</b:RefOrder>
  </b:Source>
  <b:Source>
    <b:Tag>Placeholder2</b:Tag>
    <b:SourceType>JournalArticle</b:SourceType>
    <b:Guid>{6E98BA62-DB70-46AD-8786-A6369E9D16FB}</b:Guid>
    <b:Title>Corporate Risk taking and ownership Structure</b:Title>
    <b:JournalName>Bank of Canda working paper</b:JournalName>
    <b:Year>2010</b:Year>
    <b:Author>
      <b:Author>
        <b:NameList>
          <b:Person>
            <b:Last>Paligorova</b:Last>
            <b:First>T.</b:First>
          </b:Person>
        </b:NameList>
      </b:Author>
    </b:Author>
    <b:RefOrder>21</b:RefOrder>
  </b:Source>
  <b:Source>
    <b:Tag>Eza11</b:Tag>
    <b:SourceType>JournalArticle</b:SourceType>
    <b:Guid>{2A251015-9708-48E8-BAA7-AECFE40B4994}</b:Guid>
    <b:Title>The Effect of Ownership Structure on Share Price Volatility of Listed Companies in Tehran Stock Exchange: An Empirical Evidence of Iran</b:Title>
    <b:JournalName>International journal of business and social science</b:JournalName>
    <b:Year>2011</b:Year>
    <b:Pages>vol 2(5) pp 163-169</b:Pages>
    <b:Author>
      <b:Author>
        <b:NameList>
          <b:Person>
            <b:Last>Ezazi</b:Last>
            <b:First>M.S.</b:First>
          </b:Person>
          <b:Person>
            <b:Last>Sadeghisharif</b:Last>
            <b:First>S.J</b:First>
          </b:Person>
          <b:Person>
            <b:Last>Alipour</b:Last>
            <b:First>M</b:First>
          </b:Person>
          <b:Person>
            <b:Last>Amjadi</b:Last>
            <b:First>H</b:First>
          </b:Person>
        </b:NameList>
      </b:Author>
    </b:Author>
    <b:RefOrder>22</b:RefOrder>
  </b:Source>
  <b:Source>
    <b:Tag>Kha13</b:Tag>
    <b:SourceType>JournalArticle</b:SourceType>
    <b:Guid>{1B5A559F-4A8C-4004-AEAF-2504C64A6417}</b:Guid>
    <b:Title>Corporate Governance and Corporate Social Responsibility Disclosures: Evidence from an Emerging Economy.</b:Title>
    <b:JournalName>Journal of Business Ethics</b:JournalName>
    <b:Year>2013</b:Year>
    <b:Pages>207-223</b:Pages>
    <b:Author>
      <b:Author>
        <b:NameList>
          <b:Person>
            <b:Last>Khan</b:Last>
            <b:First>A</b:First>
          </b:Person>
          <b:Person>
            <b:Last>Muttakin</b:Last>
            <b:First>M.B</b:First>
          </b:Person>
          <b:Person>
            <b:Last>Siddiqui</b:Last>
            <b:First>J</b:First>
          </b:Person>
        </b:NameList>
      </b:Author>
    </b:Author>
    <b:RefOrder>23</b:RefOrder>
  </b:Source>
  <b:Source>
    <b:Tag>Dur05</b:Tag>
    <b:SourceType>JournalArticle</b:SourceType>
    <b:Guid>{749F5C5B-EFE8-4895-8135-9F5BFC62E13A}</b:Guid>
    <b:Title>To Steal or Not to Steal: Firm Attributes, Legal Environment, and Valuation</b:Title>
    <b:JournalName>The journal of finance</b:JournalName>
    <b:Year>2005</b:Year>
    <b:Pages>volume 60(3) pp 1461-1493</b:Pages>
    <b:Author>
      <b:Author>
        <b:NameList>
          <b:Person>
            <b:Last>Durnev</b:Last>
            <b:First>Art</b:First>
          </b:Person>
          <b:Person>
            <b:Last>Kim</b:Last>
            <b:First>E.Han</b:First>
          </b:Person>
        </b:NameList>
      </b:Author>
    </b:Author>
    <b:RefOrder>24</b:RefOrder>
  </b:Source>
  <b:Source>
    <b:Tag>Bal15</b:Tag>
    <b:SourceType>JournalArticle</b:SourceType>
    <b:Guid>{707DA516-7FB3-4B53-925B-936F8944B67F}</b:Guid>
    <b:Title>Loan loss provisions, accounting constraints, and bank ownership structure</b:Title>
    <b:JournalName>Journal of Economics and Business</b:JournalName>
    <b:Year>2015</b:Year>
    <b:Pages>volum3 78 pp 92-117</b:Pages>
    <b:Author>
      <b:Author>
        <b:NameList>
          <b:Person>
            <b:Last>Bala</b:Last>
            <b:First>Eliana </b:First>
          </b:Person>
          <b:Person>
            <b:Last>Rose</b:Last>
            <b:First>Morgan J</b:First>
          </b:Person>
        </b:NameList>
      </b:Author>
    </b:Author>
    <b:RefOrder>25</b:RefOrder>
  </b:Source>
  <b:Source>
    <b:Tag>Hey15</b:Tag>
    <b:SourceType>JournalArticle</b:SourceType>
    <b:Guid>{B4F1C693-84FE-4E10-B2FC-04AE72A5681C}</b:Guid>
    <b:Title>Board Background Heterogeneity and Exploration‐Exploitation: The Role of the Institutionally Adopted Board Model</b:Title>
    <b:JournalName>Global strategy Journal</b:JournalName>
    <b:Year>2015</b:Year>
    <b:Pages>volume 5 (2) 154-176</b:Pages>
    <b:Author>
      <b:Author>
        <b:NameList>
          <b:Person>
            <b:Last>Heyden</b:Last>
            <b:First>Mariano L.M</b:First>
          </b:Person>
          <b:Person>
            <b:Last>Oehmichen</b:Last>
            <b:First>Jana</b:First>
          </b:Person>
          <b:Person>
            <b:Last>Nichting</b:Last>
            <b:First>Sven</b:First>
          </b:Person>
          <b:Person>
            <b:Last>Volberda</b:Last>
            <b:First>Henk W.</b:First>
          </b:Person>
        </b:NameList>
      </b:Author>
    </b:Author>
    <b:RefOrder>26</b:RefOrder>
  </b:Source>
  <b:Source>
    <b:Tag>Tro07</b:Tag>
    <b:SourceType>JournalArticle</b:SourceType>
    <b:Guid>{10181F66-BE2D-459A-A625-C5CE38100626}</b:Guid>
    <b:Title>Largest shareholder and dividend policy around the world</b:Title>
    <b:JournalName>The quarterly review of Economics and Finance</b:JournalName>
    <b:Year>2007</b:Year>
    <b:Pages>volume 47 (5) pp 667-687</b:Pages>
    <b:Author>
      <b:Author>
        <b:NameList>
          <b:Person>
            <b:Last>Troung</b:Last>
            <b:First>Thanh</b:First>
          </b:Person>
          <b:Person>
            <b:Last>Heaney</b:Last>
            <b:First>Richard</b:First>
          </b:Person>
        </b:NameList>
      </b:Author>
    </b:Author>
    <b:RefOrder>27</b:RefOrder>
  </b:Source>
  <b:Source>
    <b:Tag>Hol03</b:Tag>
    <b:SourceType>JournalArticle</b:SourceType>
    <b:Guid>{9AD9C5D4-B90B-4A2E-8736-D0F1EDAF39DE}</b:Guid>
    <b:Title>A Survey of Blockholders and Corporate Control</b:Title>
    <b:JournalName>Economic policy Review</b:JournalName>
    <b:Year>2003</b:Year>
    <b:Pages>vol 9(1)</b:Pages>
    <b:Author>
      <b:Author>
        <b:NameList>
          <b:Person>
            <b:Last>Holderness</b:Last>
            <b:First>Clifford G.</b:First>
          </b:Person>
        </b:NameList>
      </b:Author>
    </b:Author>
    <b:RefOrder>28</b:RefOrder>
  </b:Source>
  <b:Source>
    <b:Tag>Dam13</b:Tag>
    <b:SourceType>JournalArticle</b:SourceType>
    <b:Guid>{11AE04D8-2EE0-4441-8DE5-CE71F4221CED}</b:Guid>
    <b:Title>Ownership Concentration and CSR Policy of European Multinational Enterprises</b:Title>
    <b:JournalName>Journal of Business ethics</b:JournalName>
    <b:Year>2013</b:Year>
    <b:Pages>117-126</b:Pages>
    <b:Author>
      <b:Author>
        <b:NameList>
          <b:Person>
            <b:Last>Dam</b:Last>
            <b:First>Lammertjan </b:First>
          </b:Person>
          <b:Person>
            <b:Last>Scholtens</b:Last>
            <b:First>Bert</b:First>
          </b:Person>
        </b:NameList>
      </b:Author>
    </b:Author>
    <b:RefOrder>29</b:RefOrder>
  </b:Source>
  <b:Source>
    <b:Tag>Cas16</b:Tag>
    <b:SourceType>JournalArticle</b:SourceType>
    <b:Guid>{D9D5CBF1-ADBD-43C7-ADD3-68ECEF678B67}</b:Guid>
    <b:Title>Does ownership matter in private equity? The sources of variance in buyouts' performance</b:Title>
    <b:JournalName>Stategic Management Journal</b:JournalName>
    <b:Year>2016</b:Year>
    <b:Pages>vol 37 (2) pp 330-348</b:Pages>
    <b:Author>
      <b:Author>
        <b:NameList>
          <b:Person>
            <b:Last>Castellaneta</b:Last>
            <b:First>Francesco</b:First>
          </b:Person>
          <b:Person>
            <b:Last>Gottschalg</b:Last>
            <b:First>Oliver</b:First>
          </b:Person>
        </b:NameList>
      </b:Author>
    </b:Author>
    <b:RefOrder>30</b:RefOrder>
  </b:Source>
  <b:Source>
    <b:Tag>DuS13</b:Tag>
    <b:SourceType>JournalArticle</b:SourceType>
    <b:Guid>{C9A66389-EA4F-4525-AFB0-25454600A190}</b:Guid>
    <b:Title>The Roles of Leadership Styles in Corporate Social Responsibility</b:Title>
    <b:JournalName>Journal of business Ethics</b:JournalName>
    <b:Year>2013</b:Year>
    <b:Pages>vol 114 (1) pp 155-169</b:Pages>
    <b:Author>
      <b:Author>
        <b:NameList>
          <b:Person>
            <b:Last>Du</b:Last>
            <b:First>Shuili</b:First>
          </b:Person>
          <b:Person>
            <b:Last>Swaen</b:Last>
            <b:First>Valerie</b:First>
          </b:Person>
          <b:Person>
            <b:Last>Lindgreen</b:Last>
            <b:First>Adam</b:First>
          </b:Person>
          <b:Person>
            <b:Last>Sen</b:Last>
            <b:First>Sankar</b:First>
          </b:Person>
        </b:NameList>
      </b:Author>
    </b:Author>
    <b:RefOrder>31</b:RefOrder>
  </b:Source>
  <b:Source>
    <b:Tag>Hol88</b:Tag>
    <b:SourceType>JournalArticle</b:SourceType>
    <b:Guid>{B8498151-3525-4367-8E15-0845F8B22FDA}</b:Guid>
    <b:Title>The role of majority shareholders in publicly held corporations: An exploratory analysis</b:Title>
    <b:JournalName>Journal of Financial Economics</b:JournalName>
    <b:Year>1988</b:Year>
    <b:Pages>vol (20) pp 317-346</b:Pages>
    <b:Author>
      <b:Author>
        <b:NameList>
          <b:Person>
            <b:Last>Holderness</b:Last>
            <b:First>Clifford G.</b:First>
          </b:Person>
          <b:Person>
            <b:Last>Sheehan</b:Last>
            <b:First>Dennis P</b:First>
          </b:Person>
        </b:NameList>
      </b:Author>
    </b:Author>
    <b:RefOrder>32</b:RefOrder>
  </b:Source>
  <b:Source>
    <b:Tag>Eli11</b:Tag>
    <b:SourceType>JournalArticle</b:SourceType>
    <b:Guid>{4F215040-BC8D-40DD-9C64-63B2DB011AB5}</b:Guid>
    <b:Title>Corporate governance and risk taking: Evidence from the UK and German insurance markets</b:Title>
    <b:JournalName>working paper:Institute of Insurance Economics</b:JournalName>
    <b:Year>2011</b:Year>
    <b:Author>
      <b:Author>
        <b:NameList>
          <b:Person>
            <b:Last>Eling</b:Last>
            <b:First>M</b:First>
          </b:Person>
          <b:Person>
            <b:Last>Marek</b:Last>
            <b:First>S</b:First>
          </b:Person>
        </b:NameList>
      </b:Author>
    </b:Author>
    <b:RefOrder>33</b:RefOrder>
  </b:Source>
  <b:Source>
    <b:Tag>Fam83</b:Tag>
    <b:SourceType>JournalArticle</b:SourceType>
    <b:Guid>{D8B407A5-BDDE-4F62-82F0-020E514DB7C2}</b:Guid>
    <b:Title>seperation of ownership and control</b:Title>
    <b:JournalName>journal of law and economics</b:JournalName>
    <b:Year>1983</b:Year>
    <b:Pages>vol 7 301-325</b:Pages>
    <b:Author>
      <b:Author>
        <b:NameList>
          <b:Person>
            <b:Last>Fama</b:Last>
            <b:First>E</b:First>
          </b:Person>
          <b:Person>
            <b:Last>jensen</b:Last>
            <b:First>M</b:First>
          </b:Person>
        </b:NameList>
      </b:Author>
    </b:Author>
    <b:RefOrder>34</b:RefOrder>
  </b:Source>
  <b:Source>
    <b:Tag>Gro82</b:Tag>
    <b:SourceType>Book</b:SourceType>
    <b:Guid>{01536EA0-8623-4E54-B49B-8B5CFFC793EC}</b:Guid>
    <b:Author>
      <b:Author>
        <b:NameList>
          <b:Person>
            <b:Last>Grossman</b:Last>
            <b:First>Sanford</b:First>
            <b:Middle>J.</b:Middle>
          </b:Person>
          <b:Person>
            <b:Last>Hart</b:Last>
            <b:First>Oliver</b:First>
          </b:Person>
        </b:NameList>
      </b:Author>
      <b:BookAuthor>
        <b:NameList>
          <b:Person>
            <b:Last>uncertainty</b:Last>
            <b:First>The</b:First>
            <b:Middle>economics of information and</b:Middle>
          </b:Person>
        </b:NameList>
      </b:BookAuthor>
    </b:Author>
    <b:Title>Corporate Financial Structure and Managerial Incentive</b:Title>
    <b:Year>1982</b:Year>
    <b:Pages>128-146</b:Pages>
    <b:City>Chicago</b:City>
    <b:Publisher>University of Chicago Press</b:Publisher>
    <b:BookTitle>McCall, J.(Ed)</b:BookTitle>
    <b:RefOrder>35</b:RefOrder>
  </b:Source>
  <b:Source>
    <b:Tag>Placeholder3</b:Tag>
    <b:SourceType>JournalArticle</b:SourceType>
    <b:Guid>{CAD6200A-1EF3-40B1-A1AA-22CEE24A30AC}</b:Guid>
    <b:Title>Ownerhip structure and Risk at Colombian Banks</b:Title>
    <b:JournalName>working Paper </b:JournalName>
    <b:Year>2011</b:Year>
    <b:Author>
      <b:Author>
        <b:NameList>
          <b:Person>
            <b:Last>Martinez</b:Last>
            <b:First>C.</b:First>
          </b:Person>
          <b:Person>
            <b:Last>Ramirez</b:Last>
            <b:First>M.</b:First>
          </b:Person>
        </b:NameList>
      </b:Author>
    </b:Author>
    <b:RefOrder>36</b:RefOrder>
  </b:Source>
  <b:Source>
    <b:Tag>Sab14</b:Tag>
    <b:SourceType>JournalArticle</b:SourceType>
    <b:Guid>{81AF9737-C3AD-4868-8980-75E4D011DB14}</b:Guid>
    <b:Title>Large controlling shareholders and stock price synchronicity</b:Title>
    <b:JournalName>Journal of Banking and Finance</b:JournalName>
    <b:Year>2014</b:Year>
    <b:Pages>vol (40) pp 80-96</b:Pages>
    <b:Author>
      <b:Author>
        <b:NameList>
          <b:Person>
            <b:Last>Sabri</b:Last>
            <b:First>Boubaker</b:First>
          </b:Person>
          <b:Person>
            <b:Last>Mansali</b:Last>
            <b:First>Hatem</b:First>
          </b:Person>
          <b:Person>
            <b:Last>Rjiba</b:Last>
            <b:First>Hatem</b:First>
          </b:Person>
        </b:NameList>
      </b:Author>
    </b:Author>
    <b:RefOrder>37</b:RefOrder>
  </b:Source>
  <b:Source>
    <b:Tag>Gad03</b:Tag>
    <b:SourceType>JournalArticle</b:SourceType>
    <b:Guid>{AB360F38-4CCE-42FA-B1F0-E78D08785B6F}</b:Guid>
    <b:Author>
      <b:Author>
        <b:NameList>
          <b:Person>
            <b:Last>Gadhoum</b:Last>
            <b:First>Yoser</b:First>
          </b:Person>
          <b:Person>
            <b:Last>Ayadi</b:Last>
            <b:First>Mohamed</b:First>
            <b:Middle>A.</b:Middle>
          </b:Person>
        </b:NameList>
      </b:Author>
    </b:Author>
    <b:Title>Ownership Structure and Risk: A Canadian Empirical Analysis</b:Title>
    <b:JournalName>Quarterly Journal of Business and Economics</b:JournalName>
    <b:Year>2003</b:Year>
    <b:Pages>19-39</b:Pages>
    <b:RefOrder>38</b:RefOrder>
  </b:Source>
  <b:Source>
    <b:Tag>Gur02</b:Tag>
    <b:SourceType>JournalArticle</b:SourceType>
    <b:Guid>{B34CA031-B40C-4B39-98F0-4FCCE91EA298}</b:Guid>
    <b:Title>Equity ownership structure,risk taking and performance: An Emperical Investigation in Turkish Companies</b:Title>
    <b:JournalName>Emerging Markets Finance and Trade</b:JournalName>
    <b:Year>2002</b:Year>
    <b:Pages>6-25</b:Pages>
    <b:Author>
      <b:Author>
        <b:NameList>
          <b:Person>
            <b:Last>Gursoy</b:Last>
            <b:First>G</b:First>
          </b:Person>
          <b:Person>
            <b:Last>Aydogan</b:Last>
            <b:First>K.</b:First>
          </b:Person>
        </b:NameList>
      </b:Author>
    </b:Author>
    <b:RefOrder>39</b:RefOrder>
  </b:Source>
  <b:Source>
    <b:Tag>Amr11</b:Tag>
    <b:SourceType>JournalArticle</b:SourceType>
    <b:Guid>{AE877AFB-77F5-4EF3-B554-6807067B0D58}</b:Guid>
    <b:Title>ownership structure risk and voting rights</b:Title>
    <b:JournalName>working paper</b:JournalName>
    <b:Year>2011</b:Year>
    <b:Author>
      <b:Author>
        <b:NameList>
          <b:Person>
            <b:Last>Amrita </b:Last>
            <b:First>D</b:First>
          </b:Person>
        </b:NameList>
      </b:Author>
    </b:Author>
    <b:RefOrder>40</b:RefOrder>
  </b:Source>
  <b:Source>
    <b:Tag>Mis11</b:Tag>
    <b:SourceType>JournalArticle</b:SourceType>
    <b:Guid>{5C47C761-9885-45DE-B333-70F04924E658}</b:Guid>
    <b:Author>
      <b:Author>
        <b:NameList>
          <b:Person>
            <b:Last>Mishra</b:Last>
            <b:First>Dev</b:First>
            <b:Middle>R.</b:Middle>
          </b:Person>
        </b:NameList>
      </b:Author>
    </b:Author>
    <b:Title>Multiple Large Shareholders and Corporate Risk Taking: Evidence from East Asia</b:Title>
    <b:JournalName>Corporate Governance: An International Review</b:JournalName>
    <b:Year>2011</b:Year>
    <b:Pages>507–528</b:Pages>
    <b:RefOrder>41</b:RefOrder>
  </b:Source>
  <b:Source>
    <b:Tag>Cla00</b:Tag>
    <b:SourceType>JournalArticle</b:SourceType>
    <b:Guid>{2652AE9D-4ADB-48E3-9762-FE957E6114A2}</b:Guid>
    <b:Author>
      <b:Author>
        <b:NameList>
          <b:Person>
            <b:Last>Claessens</b:Last>
            <b:First>Stijn</b:First>
          </b:Person>
          <b:Person>
            <b:Last>Djankov</b:Last>
            <b:First>Simeon</b:First>
          </b:Person>
          <b:Person>
            <b:Last>Lang</b:Last>
            <b:First>Larry</b:First>
            <b:Middle>H.P.</b:Middle>
          </b:Person>
        </b:NameList>
      </b:Author>
    </b:Author>
    <b:Title>The Separation of Ownership and Control in East Asian Corporations</b:Title>
    <b:JournalName>Journal of Financial Economics </b:JournalName>
    <b:Year>2000</b:Year>
    <b:Pages> 81-112</b:Pages>
    <b:RefOrder>42</b:RefOrder>
  </b:Source>
  <b:Source>
    <b:Tag>Gor00</b:Tag>
    <b:SourceType>JournalArticle</b:SourceType>
    <b:Guid>{7DB93C71-564D-4953-A82D-46A88A61240F}</b:Guid>
    <b:Title>Universal banking and the performance of German firms</b:Title>
    <b:JournalName> Journal of Financial Economics </b:JournalName>
    <b:Year>2000</b:Year>
    <b:Pages>vol 58 pp 29-80</b:Pages>
    <b:Author>
      <b:Author>
        <b:NameList>
          <b:Person>
            <b:Last>Gorton</b:Last>
          </b:Person>
          <b:Person>
            <b:Last>Gary</b:Last>
          </b:Person>
          <b:Person>
            <b:Last>Frank A.</b:Last>
          </b:Person>
          <b:Person>
            <b:Last>Schmid</b:Last>
          </b:Person>
        </b:NameList>
      </b:Author>
    </b:Author>
    <b:RefOrder>43</b:RefOrder>
  </b:Source>
  <b:Source>
    <b:Tag>Dem01</b:Tag>
    <b:SourceType>JournalArticle</b:SourceType>
    <b:Guid>{AD4004C2-EE72-4261-A060-0266C6289269}</b:Guid>
    <b:Title>Ownership structure and corporate performance</b:Title>
    <b:JournalName>Journal of corporate Finance</b:JournalName>
    <b:Year>2001</b:Year>
    <b:Pages>vol 7(3) pp 209-233</b:Pages>
    <b:Author>
      <b:Author>
        <b:NameList>
          <b:Person>
            <b:Last>Demstez</b:Last>
            <b:First>Harold</b:First>
          </b:Person>
          <b:Person>
            <b:Last>Villalonga</b:Last>
            <b:First>Belen</b:First>
          </b:Person>
        </b:NameList>
      </b:Author>
    </b:Author>
    <b:RefOrder>44</b:RefOrder>
  </b:Source>
  <b:Source>
    <b:Tag>Jen90</b:Tag>
    <b:SourceType>JournalArticle</b:SourceType>
    <b:Guid>{272C433E-79C0-470F-8B59-A45655FD3603}</b:Guid>
    <b:Title>Performance Pay and Top-Management Incentives </b:Title>
    <b:JournalName>Journal of Political Economy</b:JournalName>
    <b:Year>1990</b:Year>
    <b:Pages>225-264</b:Pages>
    <b:Author>
      <b:Author>
        <b:NameList>
          <b:Person>
            <b:Last> Jensen</b:Last>
            <b:First>Michael C.</b:First>
          </b:Person>
          <b:Person>
            <b:Last> Murphy</b:Last>
            <b:First> Kevin J.</b:First>
          </b:Person>
        </b:NameList>
      </b:Author>
    </b:Author>
    <b:RefOrder>45</b:RefOrder>
  </b:Source>
  <b:Source>
    <b:Tag>Den91</b:Tag>
    <b:SourceType>JournalArticle</b:SourceType>
    <b:Guid>{CDEC5EBD-58CC-4E78-B6C0-30A7B0ADF7B6}</b:Guid>
    <b:Title>Ownership Structure, control type classifications and the performance of large british company</b:Title>
    <b:JournalName>The economics journal</b:JournalName>
    <b:Year>1991</b:Year>
    <b:Author>
      <b:Author>
        <b:NameList>
          <b:Person>
            <b:First>Dennis Leech</b:First>
          </b:Person>
          <b:Person>
            <b:Last>Leahy</b:Last>
            <b:First>John</b:First>
          </b:Person>
        </b:NameList>
      </b:Author>
    </b:Author>
    <b:RefOrder>46</b:RefOrder>
  </b:Source>
  <b:Source>
    <b:Tag>Tho00</b:Tag>
    <b:SourceType>JournalArticle</b:SourceType>
    <b:Guid>{7E7A2BFE-A21E-45AF-AE75-813FDBC11324}</b:Guid>
    <b:Title>Ownership structure and economic performance in the largest european companies</b:Title>
    <b:JournalName>Strategic Management Journal</b:JournalName>
    <b:Year>2000</b:Year>
    <b:Pages>vol (21) 6  pp 689-705</b:Pages>
    <b:Author>
      <b:Author>
        <b:NameList>
          <b:Person>
            <b:Last>Thomsen</b:Last>
            <b:First>Steen</b:First>
          </b:Person>
          <b:Person>
            <b:Last>Pedersen</b:Last>
            <b:First>Torben</b:First>
          </b:Person>
        </b:NameList>
      </b:Author>
    </b:Author>
    <b:RefOrder>47</b:RefOrder>
  </b:Source>
  <b:Source>
    <b:Tag>Jen76</b:Tag>
    <b:SourceType>JournalArticle</b:SourceType>
    <b:Guid>{8D115BF0-3DA1-4415-A671-DB2514BACCA5}</b:Guid>
    <b:Author>
      <b:Author>
        <b:NameList>
          <b:Person>
            <b:Last>Jensen</b:Last>
            <b:First>Michael</b:First>
            <b:Middle>C.</b:Middle>
          </b:Person>
          <b:Person>
            <b:Last>Meckling</b:Last>
            <b:First>William</b:First>
            <b:Middle>H.</b:Middle>
          </b:Person>
        </b:NameList>
      </b:Author>
    </b:Author>
    <b:Title>Theory of the Firm, Managerial Behavior, Agency Costs, and Ownership Structure</b:Title>
    <b:JournalName>Journal of Financial Economic</b:JournalName>
    <b:Year>1976</b:Year>
    <b:Pages>305-360</b:Pages>
    <b:RefOrder>48</b:RefOrder>
  </b:Source>
  <b:Source>
    <b:Tag>Bae02</b:Tag>
    <b:SourceType>JournalArticle</b:SourceType>
    <b:Guid>{942AEA47-ABE4-400A-9D4A-D7764E776835}</b:Guid>
    <b:Title>Tunneling or Value Added? Evidence from Mergers by Korean Business Groups</b:Title>
    <b:JournalName>The journal of Finance</b:JournalName>
    <b:Year>2002</b:Year>
    <b:Pages>vol 57 (6) pp 2695-2740</b:Pages>
    <b:Author>
      <b:Author>
        <b:NameList>
          <b:Person>
            <b:Last>Bae</b:Last>
            <b:First>Kee Hong</b:First>
          </b:Person>
          <b:Person>
            <b:Last>Kang</b:Last>
            <b:First>Jun Koo</b:First>
          </b:Person>
          <b:Person>
            <b:Last>Kim</b:Last>
            <b:First>Jin Mo</b:First>
          </b:Person>
        </b:NameList>
      </b:Author>
    </b:Author>
    <b:RefOrder>49</b:RefOrder>
  </b:Source>
  <b:Source>
    <b:Tag>Ber02</b:Tag>
    <b:SourceType>JournalArticle</b:SourceType>
    <b:Guid>{D9A67C00-81B3-41F8-9EE3-A33B03A9CAEC}</b:Guid>
    <b:Title>Ferreting Out Tunneling: An Application to Indian Business Groups </b:Title>
    <b:JournalName>The Quarterly Journal of Economics</b:JournalName>
    <b:Year>2002</b:Year>
    <b:Pages>vol 117 (1) pp 121-148</b:Pages>
    <b:Author>
      <b:Author>
        <b:NameList>
          <b:Person>
            <b:Last>Bertrand</b:Last>
            <b:First>Marianne </b:First>
          </b:Person>
          <b:Person>
            <b:Last>Mehta</b:Last>
            <b:First>Paras</b:First>
          </b:Person>
          <b:Person>
            <b:Last>Mullainathan</b:Last>
            <b:First>Sendhil</b:First>
          </b:Person>
        </b:NameList>
      </b:Author>
    </b:Author>
    <b:RefOrder>50</b:RefOrder>
  </b:Source>
  <b:Source>
    <b:Tag>Ged17</b:Tag>
    <b:SourceType>JournalArticle</b:SourceType>
    <b:Guid>{A0422556-7465-4E9C-87E8-F45BA0A28457}</b:Guid>
    <b:Title>Ownership structure and firm profitability in Japan</b:Title>
    <b:JournalName>Academy of Management</b:JournalName>
    <b:Year>2017</b:Year>
    <b:Pages>vol 45 (3) </b:Pages>
    <b:Author>
      <b:Author>
        <b:NameList>
          <b:Person>
            <b:Last>Gedajlovic </b:Last>
            <b:First>Eric </b:First>
          </b:Person>
          <b:Person>
            <b:Last>Shapiro</b:Last>
            <b:First> Daniel M. </b:First>
          </b:Person>
        </b:NameList>
      </b:Author>
    </b:Author>
    <b:RefOrder>51</b:RefOrder>
  </b:Source>
  <b:Source>
    <b:Tag>Dja08</b:Tag>
    <b:SourceType>JournalArticle</b:SourceType>
    <b:Guid>{76F31D26-0894-4610-AAD9-7F8BE536684F}</b:Guid>
    <b:Title>The law and Economics of self-dealing</b:Title>
    <b:JournalName>Journal of Financial Economics</b:JournalName>
    <b:Year>2008</b:Year>
    <b:Pages>vol 88 (3) pp 430-465</b:Pages>
    <b:Author>
      <b:Author>
        <b:NameList>
          <b:Person>
            <b:Last>Djankov</b:Last>
            <b:First>Simeon</b:First>
          </b:Person>
          <b:Person>
            <b:Last>Porta</b:Last>
            <b:Middle> La</b:Middle>
            <b:First>Rafael</b:First>
          </b:Person>
          <b:Person>
            <b:Last>Silanes</b:Last>
            <b:Middle>Lopez de</b:Middle>
            <b:First>Florencia</b:First>
          </b:Person>
          <b:Person>
            <b:Last>Shleifer</b:Last>
            <b:First>Andrei</b:First>
          </b:Person>
        </b:NameList>
      </b:Author>
    </b:Author>
    <b:RefOrder>52</b:RefOrder>
  </b:Source>
  <b:Source>
    <b:Tag>Dai03</b:Tag>
    <b:SourceType>JournalArticle</b:SourceType>
    <b:Guid>{5C4BFB5B-035E-41DB-AE7D-A26EB420712A}</b:Guid>
    <b:Title>“Corporate Governance: Decades of Dialogue and Data"</b:Title>
    <b:JournalName> Academy of Management Review</b:JournalName>
    <b:Year>2003</b:Year>
    <b:Pages>VOL 28 No 3 pp 371-388</b:Pages>
    <b:Author>
      <b:Author>
        <b:NameList>
          <b:Person>
            <b:Last>Daily</b:Last>
            <b:First>CM</b:First>
          </b:Person>
          <b:Person>
            <b:Last>Dalton</b:Last>
            <b:First>DR</b:First>
          </b:Person>
          <b:Person>
            <b:Last>Canella</b:Last>
            <b:First>AA</b:First>
          </b:Person>
        </b:NameList>
      </b:Author>
    </b:Author>
    <b:RefOrder>53</b:RefOrder>
  </b:Source>
  <b:Source>
    <b:Tag>Dem011</b:Tag>
    <b:SourceType>JournalArticle</b:SourceType>
    <b:Guid>{79350E83-3A86-4DCA-B29D-8D0711D0CE81}</b:Guid>
    <b:Title>Ownership structure and corporate performance</b:Title>
    <b:JournalName>Journal of Corporate Finance</b:JournalName>
    <b:Year>2001</b:Year>
    <b:Pages>vol 7(3) pp 209-233</b:Pages>
    <b:Author>
      <b:Author>
        <b:NameList>
          <b:Person>
            <b:Last>Demsetz</b:Last>
            <b:First>Harold</b:First>
          </b:Person>
          <b:Person>
            <b:Last>Villalonga</b:Last>
            <b:First>Belen</b:First>
          </b:Person>
        </b:NameList>
      </b:Author>
    </b:Author>
    <b:RefOrder>54</b:RefOrder>
  </b:Source>
  <b:Source>
    <b:Tag>McC90</b:Tag>
    <b:SourceType>JournalArticle</b:SourceType>
    <b:Guid>{D9E3B4B3-EE6B-4BFB-A635-D1817D5FCA52}</b:Guid>
    <b:Author>
      <b:Author>
        <b:NameList>
          <b:Person>
            <b:Last>McConnell</b:Last>
            <b:First>J.</b:First>
          </b:Person>
          <b:Person>
            <b:Last>Servaes</b:Last>
            <b:First>H.</b:First>
          </b:Person>
        </b:NameList>
      </b:Author>
    </b:Author>
    <b:Title>Additional Evidence on Equity Ownership and Corporate Value</b:Title>
    <b:JournalName>Journal of Financial Economics</b:JournalName>
    <b:Year>1990</b:Year>
    <b:Pages>595-612</b:Pages>
    <b:RefOrder>55</b:RefOrder>
  </b:Source>
  <b:Source>
    <b:Tag>Mor89</b:Tag>
    <b:SourceType>JournalArticle</b:SourceType>
    <b:Guid>{35037557-D423-4518-9792-7C2411A4176C}</b:Guid>
    <b:Author>
      <b:Author>
        <b:NameList>
          <b:Person>
            <b:Last>Morck</b:Last>
            <b:First>Randall</b:First>
          </b:Person>
          <b:Person>
            <b:Last>Shleifer</b:Last>
            <b:First>Andrei</b:First>
          </b:Person>
          <b:Person>
            <b:Last>Vishny</b:Last>
            <b:First>Robert</b:First>
            <b:Middle>W.</b:Middle>
          </b:Person>
        </b:NameList>
      </b:Author>
    </b:Author>
    <b:Title>Alternative Mechanisms for Corporate Control</b:Title>
    <b:JournalName>American Economic Review</b:JournalName>
    <b:Year>1989</b:Year>
    <b:Pages>842-852</b:Pages>
    <b:RefOrder>56</b:RefOrder>
  </b:Source>
  <b:Source>
    <b:Tag>Ahm</b:Tag>
    <b:SourceType>JournalArticle</b:SourceType>
    <b:Guid>{6BB2AEEB-570C-42D5-AF00-629FFAEF5BC3}</b:Guid>
    <b:Title>Pakistan Economy DSGE Model with Informality</b:Title>
    <b:JournalName>working paper</b:JournalName>
    <b:Author>
      <b:Author>
        <b:NameList>
          <b:Person>
            <b:Last>Ahmad</b:Last>
            <b:First>Shahzad</b:First>
          </b:Person>
          <b:Person>
            <b:Last>Ahmad</b:Last>
            <b:First>Waqas</b:First>
          </b:Person>
          <b:Person>
            <b:Last>Khan</b:Last>
            <b:First>Sajawal</b:First>
          </b:Person>
          <b:Person>
            <b:Last>Pasha</b:Last>
            <b:First>Farooq</b:First>
          </b:Person>
          <b:Person>
            <b:Last>Rehman</b:Last>
            <b:First>Muhammad</b:First>
          </b:Person>
        </b:NameList>
      </b:Author>
    </b:Author>
    <b:Year>2007</b:Year>
    <b:RefOrder>57</b:RefOrder>
  </b:Source>
  <b:Source>
    <b:Tag>Che05</b:Tag>
    <b:SourceType>JournalArticle</b:SourceType>
    <b:Guid>{A4C8565E-9268-4BA5-B525-ED70AC886DAA}</b:Guid>
    <b:Title>Managerial Ownership and Agency Conflicts: A Nonlinear Simultaneous Equation Analysis of Managerial Ownership, Risk Taking, Debt Policy, and Dividend Policy</b:Title>
    <b:JournalName>The Financial Review</b:JournalName>
    <b:Year>2005</b:Year>
    <b:Pages>vol 34 (1) pp 119-136</b:Pages>
    <b:Author>
      <b:Author>
        <b:NameList>
          <b:Person>
            <b:Last>Chen</b:Last>
            <b:First>Carl R.</b:First>
          </b:Person>
          <b:Person>
            <b:Last>Steiner</b:Last>
            <b:First>Thomas L.</b:First>
          </b:Person>
        </b:NameList>
      </b:Author>
    </b:Author>
    <b:RefOrder>58</b:RefOrder>
  </b:Source>
  <b:Source>
    <b:Tag>Che11</b:Tag>
    <b:SourceType>JournalArticle</b:SourceType>
    <b:Guid>{5D732AA2-6F4A-4C56-87B6-0F51C2109144}</b:Guid>
    <b:Title>Ultimate controller and corporate risk taking</b:Title>
    <b:JournalName>Management and Engineering</b:JournalName>
    <b:Year>2011</b:Year>
    <b:Author>
      <b:Author>
        <b:NameList>
          <b:Person>
            <b:Last>Chen </b:Last>
            <b:First>S.</b:First>
          </b:Person>
        </b:NameList>
      </b:Author>
    </b:Author>
    <b:RefOrder>59</b:RefOrder>
  </b:Source>
  <b:Source>
    <b:Tag>Vaf98</b:Tag>
    <b:SourceType>JournalArticle</b:SourceType>
    <b:Guid>{4392795D-5D3D-4DEA-B3BB-FEDE84BEE9FD}</b:Guid>
    <b:Title>THE RELATIONSHIP BETWEEN BOARD STRUCTURE AND FIRM PERFORMANCE IN THE UK</b:Title>
    <b:JournalName>The british Accounting review</b:JournalName>
    <b:Year>1998</b:Year>
    <b:Pages>383-407</b:Pages>
    <b:Author>
      <b:Author>
        <b:NameList>
          <b:Person>
            <b:Last>Vafeas</b:Last>
            <b:First>Nikos</b:First>
          </b:Person>
          <b:Person>
            <b:Last>Theodorou</b:Last>
            <b:First>Elena</b:First>
          </b:Person>
        </b:NameList>
      </b:Author>
    </b:Author>
    <b:RefOrder>60</b:RefOrder>
  </b:Source>
  <b:Source>
    <b:Tag>Cht01</b:Tag>
    <b:SourceType>JournalArticle</b:SourceType>
    <b:Guid>{5FD30FD8-FCE7-4873-9919-3760F3615D3B}</b:Guid>
    <b:Title>Corporate Governance and Earnings Management</b:Title>
    <b:JournalName>working paper</b:JournalName>
    <b:Year>2001</b:Year>
    <b:Author>
      <b:Author>
        <b:NameList>
          <b:Person>
            <b:Last>Chtourou</b:Last>
            <b:Middle>Marrakchi</b:Middle>
            <b:First>Sonda</b:First>
          </b:Person>
          <b:Person>
            <b:Last>Bedard</b:Last>
            <b:First>Jean</b:First>
          </b:Person>
          <b:Person>
            <b:Last>Courteau</b:Last>
            <b:First>Lucie</b:First>
          </b:Person>
        </b:NameList>
      </b:Author>
    </b:Author>
    <b:RefOrder>61</b:RefOrder>
  </b:Source>
  <b:Source>
    <b:Tag>Suf13</b:Tag>
    <b:SourceType>JournalArticle</b:SourceType>
    <b:Guid>{FCE9D849-5222-4C2D-88B8-4D0FC3729410}</b:Guid>
    <b:Title>Ownership Structure and Corporate Social Responsibility Disclosure in Bangladesh</b:Title>
    <b:JournalName>International Journal of Economics and Financial Issues</b:JournalName>
    <b:Year>2013</b:Year>
    <b:Pages>vol 3(4) pp 901-909</b:Pages>
    <b:Author>
      <b:Author>
        <b:NameList>
          <b:Person>
            <b:Last>Sufain</b:Last>
            <b:Middle>Abu</b:Middle>
            <b:First>Mohammad</b:First>
          </b:Person>
          <b:Person>
            <b:Last>Zahan</b:Last>
            <b:First>Muslima</b:First>
          </b:Person>
        </b:NameList>
      </b:Author>
    </b:Author>
    <b:RefOrder>62</b:RefOrder>
  </b:Source>
  <b:Source>
    <b:Tag>Cla13</b:Tag>
    <b:SourceType>JournalArticle</b:SourceType>
    <b:Guid>{9216E282-87A7-4A3E-85B4-507E4C8FB858}</b:Guid>
    <b:Title>Corporate governance in emerging markets: A survey</b:Title>
    <b:JournalName>Emerging Markets Review</b:JournalName>
    <b:Year>2013</b:Year>
    <b:Pages>pp 1-33</b:Pages>
    <b:Author>
      <b:Author>
        <b:NameList>
          <b:Person>
            <b:Last>Claessens</b:Last>
            <b:First>Stijin</b:First>
          </b:Person>
          <b:Person>
            <b:Last>Yurtoglu</b:Last>
            <b:First>B.Burcin</b:First>
          </b:Person>
        </b:NameList>
      </b:Author>
    </b:Author>
    <b:RefOrder>63</b:RefOrder>
  </b:Source>
  <b:Source>
    <b:Tag>Mar99</b:Tag>
    <b:SourceType>BookSection</b:SourceType>
    <b:Guid>{063C9CC7-4611-4F7E-96CB-3AA9F0749850}</b:Guid>
    <b:Author>
      <b:Author>
        <b:NameList>
          <b:Person>
            <b:Last>Marks</b:Last>
            <b:First>Stephen</b:First>
            <b:Middle>G.</b:Middle>
          </b:Person>
        </b:NameList>
      </b:Author>
    </b:Author>
    <b:Title>The Separation of Ownership and Control</b:Title>
    <b:Year>1999</b:Year>
    <b:Pages>692-710</b:Pages>
    <b:City>Cheltenham</b:City>
    <b:Publisher>Edward Elgar Publishin</b:Publisher>
    <b:BookTitle>Boudewijn Bouckaert and Gerrit De Geets (eds.)</b:BookTitle>
    <b:RefOrder>64</b:RefOrder>
  </b:Source>
  <b:Source>
    <b:Tag>Alf18</b:Tag>
    <b:SourceType>JournalArticle</b:SourceType>
    <b:Guid>{4E7A3B2C-45BA-44CF-B0BB-7FA13F5B3144}</b:Guid>
    <b:Title>The Influence of Institutional and Government Ownership on Firm Performance: Evidence from Kuwait</b:Title>
    <b:JournalName>International Business Research</b:JournalName>
    <b:Year>2018</b:Year>
    <b:Pages>Vol 11(7)</b:Pages>
    <b:Author>
      <b:Author>
        <b:NameList>
          <b:Person>
            <b:Last>Alfaraih </b:Last>
            <b:First>Mishari </b:First>
          </b:Person>
          <b:Person>
            <b:Last>Alanezi</b:Last>
            <b:First>Faisal </b:First>
          </b:Person>
          <b:Person>
            <b:Last>Almujamed</b:Last>
            <b:First>Hesham  </b:First>
          </b:Person>
        </b:NameList>
      </b:Author>
    </b:Author>
    <b:RefOrder>65</b:RefOrder>
  </b:Source>
  <b:Source>
    <b:Tag>Dou06</b:Tag>
    <b:SourceType>JournalArticle</b:SourceType>
    <b:Guid>{200E1F1D-DDE9-4A1B-99F3-7844F27F5FE6}</b:Guid>
    <b:Title>Foreign and Domestic Ownership, Business Groups and Firm Performance: Evidence from a Large Emerging Market</b:Title>
    <b:JournalName>Strategic Management Journal</b:JournalName>
    <b:Year>2006</b:Year>
    <b:Pages>Vol 27, pp 637-657</b:Pages>
    <b:Author>
      <b:Author>
        <b:NameList>
          <b:Person>
            <b:Last>Douma</b:Last>
            <b:First>Sytse</b:First>
          </b:Person>
          <b:Person>
            <b:Last>George</b:Last>
            <b:First>Rejei</b:First>
          </b:Person>
          <b:Person>
            <b:Last>Kabir</b:Last>
            <b:First>Rezaul</b:First>
          </b:Person>
        </b:NameList>
      </b:Author>
    </b:Author>
    <b:RefOrder>66</b:RefOrder>
  </b:Source>
  <b:Source>
    <b:Tag>Kim11</b:Tag>
    <b:SourceType>JournalArticle</b:SourceType>
    <b:Guid>{628CDD1D-6DBA-4649-BFD4-402F0ADE9E5B}</b:Guid>
    <b:Title>CEO Ownership,External Governance,and Risk-Taking</b:Title>
    <b:JournalName>Journal of Financial Economics</b:JournalName>
    <b:Year>2011</b:Year>
    <b:Pages>272-292</b:Pages>
    <b:Author>
      <b:Author>
        <b:NameList>
          <b:Person>
            <b:Last>Kim</b:Last>
            <b:First>E.H.</b:First>
          </b:Person>
          <b:Person>
            <b:Last>Lu</b:Last>
            <b:First>Y.</b:First>
          </b:Person>
        </b:NameList>
      </b:Author>
    </b:Author>
    <b:RefOrder>67</b:RefOrder>
  </b:Source>
  <b:Source>
    <b:Tag>Ong11</b:Tag>
    <b:SourceType>JournalArticle</b:SourceType>
    <b:Guid>{B36F8EEB-B2E3-414E-AA9B-1949E607F7EC}</b:Guid>
    <b:Title>Corporate Governance and Performance: An Analysis of Ownership Structure in Kenya </b:Title>
    <b:JournalName>International Journal of Economics and financial Issues</b:JournalName>
    <b:Year>2011</b:Year>
    <b:Pages>Vol 1 (3) pp 99-122</b:Pages>
    <b:Author>
      <b:Author>
        <b:NameList>
          <b:Person>
            <b:Last>Ongore</b:Last>
            <b:First>Vincent O.</b:First>
          </b:Person>
        </b:NameList>
      </b:Author>
    </b:Author>
    <b:RefOrder>68</b:RefOrder>
  </b:Source>
  <b:Source>
    <b:Tag>Uju12</b:Tag>
    <b:SourceType>JournalArticle</b:SourceType>
    <b:Guid>{B34FB1B5-CC4F-4DC3-8CDA-4B96BF0ECFA5}</b:Guid>
    <b:Title>"Board characteristics and the financial performance of Nigerian quoted firms"</b:Title>
    <b:JournalName>Corporate Governance</b:JournalName>
    <b:Year>2012</b:Year>
    <b:Pages>vol 12, 656-674</b:Pages>
    <b:Author>
      <b:Author>
        <b:NameList>
          <b:Person>
            <b:First>Ujunwa</b:First>
          </b:Person>
          <b:Person>
            <b:First>a</b:First>
          </b:Person>
        </b:NameList>
      </b:Author>
    </b:Author>
    <b:RefOrder>69</b:RefOrder>
  </b:Source>
  <b:Source>
    <b:Tag>Por00</b:Tag>
    <b:SourceType>JournalArticle</b:SourceType>
    <b:Guid>{81AC37B6-CC36-4406-B54A-4DB01C5EE164}</b:Guid>
    <b:Title>Investor protection and corporate governance</b:Title>
    <b:JournalName>Journal of Financial Economics</b:JournalName>
    <b:Year>2000</b:Year>
    <b:Pages>volume 58 (1-2) pp 3-27</b:Pages>
    <b:Author>
      <b:Author>
        <b:NameList>
          <b:Person>
            <b:Last>La Porta</b:Last>
            <b:First>Rafael</b:First>
          </b:Person>
          <b:Person>
            <b:Last>Silanes</b:Last>
            <b:First>Florencia</b:First>
            <b:Middle>Lopez de</b:Middle>
          </b:Person>
          <b:Person>
            <b:Last>Shleifer</b:Last>
            <b:First>Andrei</b:First>
          </b:Person>
          <b:Person>
            <b:Last>Vishny</b:Last>
            <b:First>Robert</b:First>
          </b:Person>
        </b:NameList>
      </b:Author>
    </b:Author>
    <b:RefOrder>70</b:RefOrder>
  </b:Source>
  <b:Source>
    <b:Tag>Leh00</b:Tag>
    <b:SourceType>JournalArticle</b:SourceType>
    <b:Guid>{93058E61-028A-4457-B344-56FCFAA58EEC}</b:Guid>
    <b:Title>Does the Governed Corporation Perform Better? Governance Structures and Corporate Performance in Germany </b:Title>
    <b:JournalName>Review of Finance</b:JournalName>
    <b:Year>2000</b:Year>
    <b:Pages>vol 4 (2) pp 157-195</b:Pages>
    <b:Author>
      <b:Author>
        <b:NameList>
          <b:Person>
            <b:Last>Lehmann</b:Last>
            <b:First>Erik</b:First>
          </b:Person>
          <b:Person>
            <b:Last>Weigand</b:Last>
            <b:First>Jurgen</b:First>
          </b:Person>
        </b:NameList>
      </b:Author>
    </b:Author>
    <b:RefOrder>71</b:RefOrder>
  </b:Source>
  <b:Source>
    <b:Tag>Kle05</b:Tag>
    <b:SourceType>JournalArticle</b:SourceType>
    <b:Guid>{542A99D7-BBE3-4F8A-80B9-24E09C25E62F}</b:Guid>
    <b:Title>Corporate Governance, Family Ownership and Firm Value: the Canadian evidence</b:Title>
    <b:JournalName>Corporate Governance, An international Review</b:JournalName>
    <b:Year>2005</b:Year>
    <b:Pages>vol 13 issue 6,pp 769-784</b:Pages>
    <b:Author>
      <b:Author>
        <b:NameList>
          <b:Person>
            <b:Last>Klein</b:Last>
            <b:First>Peter</b:First>
          </b:Person>
          <b:Person>
            <b:Last>Shapiro</b:Last>
            <b:First>Daniel</b:First>
          </b:Person>
          <b:Person>
            <b:Last>Young</b:Last>
            <b:First>Jeffery</b:First>
          </b:Person>
        </b:NameList>
      </b:Author>
    </b:Author>
    <b:RefOrder>72</b:RefOrder>
  </b:Source>
  <b:Source>
    <b:Tag>Car01</b:Tag>
    <b:SourceType>JournalArticle</b:SourceType>
    <b:Guid>{61FD3357-01A7-4E0D-BFE8-6D67A8CD0E13}</b:Guid>
    <b:Title>Corporate Governance and Firm Capabilities: A Comparison of Managerial, Alliance, and Personal Capitalisms</b:Title>
    <b:JournalName>Asia Pacific Journal of Management</b:JournalName>
    <b:Year>2001</b:Year>
    <b:Pages>vol 18 issue 3, pp 335-354</b:Pages>
    <b:Author>
      <b:Author>
        <b:NameList>
          <b:Person>
            <b:Last>Carney</b:Last>
            <b:First>Michael </b:First>
          </b:Person>
          <b:Person>
            <b:Last>Gedajlovic</b:Last>
            <b:First>Eric </b:First>
          </b:Person>
        </b:NameList>
      </b:Author>
    </b:Author>
    <b:RefOrder>73</b:RefOrder>
  </b:Source>
  <b:Source>
    <b:Tag>Fri03</b:Tag>
    <b:SourceType>JournalArticle</b:SourceType>
    <b:Guid>{1A3299C6-BC29-4FE0-BA04-3E391392AB77}</b:Guid>
    <b:Title>Propping and tunneling</b:Title>
    <b:JournalName>Journal of Comparative Economics</b:JournalName>
    <b:Year>2003</b:Year>
    <b:Pages>vol 31 issue 4, pp 732-750</b:Pages>
    <b:Author>
      <b:Author>
        <b:NameList>
          <b:Person>
            <b:Last>Friedman</b:Last>
            <b:First>Eric</b:First>
          </b:Person>
          <b:Person>
            <b:Last>Johnson</b:Last>
            <b:First>Simon</b:First>
          </b:Person>
          <b:Person>
            <b:Last>Mitton</b:Last>
            <b:First>Todd</b:First>
          </b:Person>
        </b:NameList>
      </b:Author>
    </b:Author>
    <b:RefOrder>74</b:RefOrder>
  </b:Source>
  <b:Source>
    <b:Tag>Sau90</b:Tag>
    <b:SourceType>JournalArticle</b:SourceType>
    <b:Guid>{916FED1F-A67F-4E6A-A700-7F243D221FD8}</b:Guid>
    <b:Author>
      <b:Author>
        <b:NameList>
          <b:Person>
            <b:Last>Saunders</b:Last>
            <b:First>Anthony</b:First>
          </b:Person>
          <b:Person>
            <b:Last>Strock</b:Last>
            <b:First>Elizabeth</b:First>
          </b:Person>
          <b:Person>
            <b:Last>Travlos</b:Last>
            <b:First>Nickolaos</b:First>
            <b:Middle>G.</b:Middle>
          </b:Person>
        </b:NameList>
      </b:Author>
    </b:Author>
    <b:Title>Ownership Structure, Deregulation, and Bank Risk Taking</b:Title>
    <b:JournalName>The Journal of Finance</b:JournalName>
    <b:Year>1990</b:Year>
    <b:Pages>643-654</b:Pages>
    <b:RefOrder>75</b:RefOrder>
  </b:Source>
  <b:Source>
    <b:Tag>Mod58</b:Tag>
    <b:SourceType>Book</b:SourceType>
    <b:Guid>{B8C162A4-CE6B-46C5-B799-03B7E5B2A231}</b:Guid>
    <b:Title>The cost of capital,corporation finance and the theory of finance</b:Title>
    <b:Year>1958</b:Year>
    <b:Author>
      <b:Author>
        <b:NameList>
          <b:Person>
            <b:Last>Modigliani</b:Last>
            <b:First>F </b:First>
          </b:Person>
          <b:Person>
            <b:Last>Miller</b:Last>
            <b:First>MH</b:First>
          </b:Person>
        </b:NameList>
      </b:Author>
    </b:Author>
    <b:City>chicago</b:City>
    <b:Publisher>university of chicago press</b:Publisher>
    <b:RefOrder>76</b:RefOrder>
  </b:Source>
  <b:Source>
    <b:Tag>And00</b:Tag>
    <b:SourceType>JournalArticle</b:SourceType>
    <b:Guid>{54B0C412-DB43-4454-B32F-46492C3E3281}</b:Guid>
    <b:Author>
      <b:Author>
        <b:NameList>
          <b:Person>
            <b:Last>Anderson</b:Last>
            <b:First>Ronald</b:First>
            <b:Middle>C.</b:Middle>
          </b:Person>
          <b:Person>
            <b:Last>Fraser</b:Last>
            <b:First>Donald</b:First>
            <b:Middle>R.</b:Middle>
          </b:Person>
        </b:NameList>
      </b:Author>
    </b:Author>
    <b:Title>Corporate Control, Bank Risk taking, and the Health of the Banking Industry</b:Title>
    <b:JournalName>Journal of Banking &amp; Finance</b:JournalName>
    <b:Year>2000</b:Year>
    <b:Pages>1383-1398</b:Pages>
    <b:RefOrder>77</b:RefOrder>
  </b:Source>
  <b:Source>
    <b:Tag>Pat09</b:Tag>
    <b:SourceType>JournalArticle</b:SourceType>
    <b:Guid>{5E9FE8DB-32FB-408F-90D3-014F3AE8D928}</b:Guid>
    <b:Title>Strong Boards, CEO Power and Bank Risk-Taking</b:Title>
    <b:Year>2009</b:Year>
    <b:JournalName>Journal of Banking and Finance</b:JournalName>
    <b:Author>
      <b:Author>
        <b:NameList>
          <b:Person>
            <b:Last>Pathan</b:Last>
            <b:First>shams</b:First>
          </b:Person>
        </b:NameList>
      </b:Author>
    </b:Author>
    <b:RefOrder>78</b:RefOrder>
  </b:Source>
  <b:Source>
    <b:Tag>Lae09</b:Tag>
    <b:SourceType>JournalArticle</b:SourceType>
    <b:Guid>{32F8E802-1C75-42F9-B798-6B8339E26D2A}</b:Guid>
    <b:Title>Bank Governance ,regulations and risk taking</b:Title>
    <b:JournalName>Journal of Financial Economics</b:JournalName>
    <b:Year>2009</b:Year>
    <b:Pages>259-275</b:Pages>
    <b:Author>
      <b:Author>
        <b:NameList>
          <b:Person>
            <b:Last>Laeven</b:Last>
            <b:First>L.</b:First>
          </b:Person>
          <b:Person>
            <b:Last>Levine</b:Last>
            <b:First>R.</b:First>
          </b:Person>
        </b:NameList>
      </b:Author>
    </b:Author>
    <b:RefOrder>79</b:RefOrder>
  </b:Source>
  <b:Source>
    <b:Tag>Joh08</b:Tag>
    <b:SourceType>JournalArticle</b:SourceType>
    <b:Guid>{4E9035E9-67F7-4513-8097-FAEE1FB2EF37}</b:Guid>
    <b:Title>Corporate Governance and risk taking</b:Title>
    <b:JournalName>Journal of Finance</b:JournalName>
    <b:Year>2008</b:Year>
    <b:Pages>1679-1728</b:Pages>
    <b:Author>
      <b:Author>
        <b:NameList>
          <b:Person>
            <b:Last>John</b:Last>
            <b:First>K.</b:First>
          </b:Person>
          <b:Person>
            <b:Last>Litov</b:Last>
            <b:First>I</b:First>
          </b:Person>
          <b:Person>
            <b:Last>Yeung</b:Last>
            <b:First>B</b:First>
          </b:Person>
        </b:NameList>
      </b:Author>
    </b:Author>
    <b:RefOrder>80</b:RefOrder>
  </b:Source>
  <b:Source>
    <b:Tag>Sha12</b:Tag>
    <b:SourceType>JournalArticle</b:SourceType>
    <b:Guid>{5A862B3D-A640-4524-825B-C79F98703936}</b:Guid>
    <b:Author>
      <b:Author>
        <b:NameList>
          <b:Person>
            <b:Last>Shah</b:Last>
            <b:First>Abid</b:First>
            <b:Middle>Ali</b:Middle>
          </b:Person>
          <b:Person>
            <b:Last>Kouser</b:Last>
            <b:First>Rehana</b:First>
          </b:Person>
          <b:Person>
            <b:Last>Aamir</b:Last>
            <b:First>Muhammad</b:First>
          </b:Person>
        </b:NameList>
      </b:Author>
    </b:Author>
    <b:Title>The Impact of the Corporate Governance and the Ownership Structure on the Firm’s Financial Performance and Its Risk Taking Behavior</b:Title>
    <b:JournalName>International Research Journal of Finance and Economics</b:JournalName>
    <b:Year>2012</b:Year>
    <b:Pages>44-55</b:Pages>
    <b:RefOrder>81</b:RefOrder>
  </b:Source>
  <b:Source>
    <b:Tag>Placeholder1</b:Tag>
    <b:SourceType>JournalArticle</b:SourceType>
    <b:Guid>{96913F41-2F29-4B01-8360-A85703CD9EEA}</b:Guid>
    <b:Title>Corporate governance and risk-taking: evidence from Japanese firms.</b:Title>
    <b:JournalName>Pacific-Basin Finance Journal</b:JournalName>
    <b:Year>2011</b:Year>
    <b:Pages>278-297</b:Pages>
    <b:Author>
      <b:Author>
        <b:NameList>
          <b:Person>
            <b:Last>Nguyen</b:Last>
            <b:First>P.</b:First>
          </b:Person>
        </b:NameList>
      </b:Author>
    </b:Author>
    <b:RefOrder>82</b:RefOrder>
  </b:Source>
  <b:Source>
    <b:Tag>Exp02</b:Tag>
    <b:SourceType>JournalArticle</b:SourceType>
    <b:Guid>{8885683E-FE1B-45C2-AEF2-0A41C39EDA45}</b:Guid>
    <b:Title>Explaining the diversification discount</b:Title>
    <b:JournalName>Journal of Finance</b:JournalName>
    <b:Year>2002</b:Year>
    <b:Pages>1731-1762</b:Pages>
    <b:Author>
      <b:Author>
        <b:NameList>
          <b:Person>
            <b:Last>Campa</b:Last>
            <b:First>J.</b:First>
          </b:Person>
          <b:Person>
            <b:Last>Kedia</b:Last>
            <b:First>S.</b:First>
          </b:Person>
        </b:NameList>
      </b:Author>
    </b:Author>
    <b:RefOrder>83</b:RefOrder>
  </b:Source>
  <b:Source>
    <b:Tag>Ngu11</b:Tag>
    <b:SourceType>JournalArticle</b:SourceType>
    <b:Guid>{96913F41-2F29-4B01-8360-A85703CD9EEA}</b:Guid>
    <b:Title>Corporate governance and risk-taking: evidence from Japanese firms.</b:Title>
    <b:JournalName>Pacific-Basin Finance Journal</b:JournalName>
    <b:Year>2011</b:Year>
    <b:Pages>278-297</b:Pages>
    <b:Author>
      <b:Author>
        <b:NameList>
          <b:Person>
            <b:Last>Nguyen</b:Last>
            <b:First>P.</b:First>
          </b:Person>
        </b:NameList>
      </b:Author>
    </b:Author>
    <b:RefOrder>84</b:RefOrder>
  </b:Source>
  <b:Source>
    <b:Tag>vel03</b:Tag>
    <b:SourceType>JournalArticle</b:SourceType>
    <b:Guid>{402509EE-81C2-49E4-840D-5368CD428375}</b:Guid>
    <b:Title>Institutional Ownership and selection of industry specialist auditors</b:Title>
    <b:JournalName>Review of quantitative Finance and Accounting</b:JournalName>
    <b:Year>2003</b:Year>
    <b:Pages>35-48</b:Pages>
    <b:Author>
      <b:Author>
        <b:NameList>
          <b:Person>
            <b:Last>velury</b:Last>
            <b:First>U.</b:First>
          </b:Person>
          <b:Person>
            <b:Last>Reisch</b:Last>
            <b:First>J.T.</b:First>
          </b:Person>
          <b:Person>
            <b:Last>O,Reilly</b:Last>
            <b:First>D.M.</b:First>
          </b:Person>
        </b:NameList>
      </b:Author>
    </b:Author>
    <b:RefOrder>85</b:RefOrder>
  </b:Source>
  <b:Source>
    <b:Tag>Hut13</b:Tag>
    <b:SourceType>JournalArticle</b:SourceType>
    <b:Guid>{DA51B627-9C09-4698-9EA9-719E9076D8C4}</b:Guid>
    <b:Title>Institutional Investors, Risk/Performance and corporate Governance</b:Title>
    <b:JournalName>The international Journal of accounting Symposium</b:JournalName>
    <b:Year>2013</b:Year>
    <b:Pages>1-46</b:Pages>
    <b:Author>
      <b:Author>
        <b:NameList>
          <b:Person>
            <b:Last>Hutchinson</b:Last>
            <b:First>M.</b:First>
          </b:Person>
          <b:Person>
            <b:Last>Seamer</b:Last>
            <b:First>M.</b:First>
          </b:Person>
          <b:Person>
            <b:Last>L.E.</b:Last>
            <b:First>Chapple</b:First>
          </b:Person>
        </b:NameList>
      </b:Author>
    </b:Author>
    <b:RefOrder>86</b:RefOrder>
  </b:Source>
  <b:Source>
    <b:Tag>Pal10</b:Tag>
    <b:SourceType>JournalArticle</b:SourceType>
    <b:Guid>{6E98BA62-DB70-46AD-8786-A6369E9D16FB}</b:Guid>
    <b:Title>Corporate Risk taking and ownership Structure</b:Title>
    <b:JournalName>Bank of Canda working paper</b:JournalName>
    <b:Year>2010</b:Year>
    <b:Author>
      <b:Author>
        <b:NameList>
          <b:Person>
            <b:Last>Paligorova</b:Last>
            <b:First>T.</b:First>
          </b:Person>
        </b:NameList>
      </b:Author>
    </b:Author>
    <b:RefOrder>87</b:RefOrder>
  </b:Source>
  <b:Source>
    <b:Tag>Mar11</b:Tag>
    <b:SourceType>JournalArticle</b:SourceType>
    <b:Guid>{CAD6200A-1EF3-40B1-A1AA-22CEE24A30AC}</b:Guid>
    <b:Title>Ownerhip structure and Risk at Colombian Banks</b:Title>
    <b:JournalName>working Paper </b:JournalName>
    <b:Year>2011</b:Year>
    <b:Author>
      <b:Author>
        <b:NameList>
          <b:Person>
            <b:Last>Martinez</b:Last>
            <b:First>C.</b:First>
          </b:Person>
          <b:Person>
            <b:Last>Ramirez</b:Last>
            <b:First>M.</b:First>
          </b:Person>
        </b:NameList>
      </b:Author>
    </b:Author>
    <b:RefOrder>88</b:RefOrder>
  </b:Source>
  <b:Source>
    <b:Tag>Guj03</b:Tag>
    <b:SourceType>Book</b:SourceType>
    <b:Guid>{368C85CE-AED6-4F18-9E04-0D58F55A4CFF}</b:Guid>
    <b:Author>
      <b:Author>
        <b:NameList>
          <b:Person>
            <b:Last>Gujrati</b:Last>
            <b:First>D</b:First>
            <b:Middle>N.</b:Middle>
          </b:Person>
        </b:NameList>
      </b:Author>
    </b:Author>
    <b:Title>Basic Econometrics, 4th Edition</b:Title>
    <b:Year>2003</b:Year>
    <b:City>New York</b:City>
    <b:Publisher>The McGraw-Hill Company</b:Publisher>
    <b:RefOrder>89</b:RefOrder>
  </b:Source>
  <b:Source>
    <b:Tag>Yer96</b:Tag>
    <b:SourceType>JournalArticle</b:SourceType>
    <b:Guid>{536E1F7F-7F20-4836-B52B-C31861461A77}</b:Guid>
    <b:Title>"Higher market valuation of companies</b:Title>
    <b:JournalName>Financial Economics</b:JournalName>
    <b:Year>1996</b:Year>
    <b:Pages>40, 185-211</b:Pages>
    <b:Author>
      <b:Author>
        <b:NameList>
          <b:Person>
            <b:Last>Yermack</b:Last>
            <b:First>D.</b:First>
          </b:Person>
        </b:NameList>
      </b:Author>
    </b:Author>
    <b:RefOrder>90</b:RefOrder>
  </b:Source>
  <b:Source>
    <b:Tag>Him99</b:Tag>
    <b:SourceType>JournalArticle</b:SourceType>
    <b:Guid>{CE04A74E-42F9-4F1F-BC1A-F759F531ED5D}</b:Guid>
    <b:Title>Understanding the determinants of managerial ownership and the link between ownership and performance</b:Title>
    <b:JournalName>Journal of Financial Economics</b:JournalName>
    <b:Year>1999</b:Year>
    <b:Pages>53: 353–384</b:Pages>
    <b:Author>
      <b:Author>
        <b:NameList>
          <b:Person>
            <b:Last>Himmelberg </b:Last>
            <b:First>C</b:First>
          </b:Person>
          <b:Person>
            <b:Last>Hubbard</b:Last>
            <b:First>G</b:First>
          </b:Person>
          <b:Person>
            <b:Last>Palia</b:Last>
            <b:First>D</b:First>
          </b:Person>
        </b:NameList>
      </b:Author>
    </b:Author>
    <b:RefOrder>91</b:RefOrder>
  </b:Source>
  <b:Source>
    <b:Tag>Pet09</b:Tag>
    <b:SourceType>JournalArticle</b:SourceType>
    <b:Guid>{CC34371A-A579-4673-8888-0EBEF437FFD4}</b:Guid>
    <b:Title>Estimating standard errors in finance panel data sets: Comparing approaches</b:Title>
    <b:JournalName>Review of Financial Studies</b:JournalName>
    <b:Year>2009</b:Year>
    <b:Pages>22: 435-480</b:Pages>
    <b:Author>
      <b:Author>
        <b:NameList>
          <b:Person>
            <b:Last>Petersen</b:Last>
            <b:First>MA</b:First>
          </b:Person>
        </b:NameList>
      </b:Author>
    </b:Author>
    <b:RefOrder>92</b:RefOrder>
  </b:Source>
  <b:Source>
    <b:Tag>Dri98</b:Tag>
    <b:SourceType>JournalArticle</b:SourceType>
    <b:Guid>{EDE9E309-EA05-4E77-9034-52E918B76C3A}</b:Guid>
    <b:Title>Consistent Covariance Matrix Estimation with Spatially Dependent Panel Data </b:Title>
    <b:JournalName>Review of Economics and Statistics</b:JournalName>
    <b:Year>1998</b:Year>
    <b:Pages>VOL 80:549-560</b:Pages>
    <b:Author>
      <b:Author>
        <b:NameList>
          <b:Person>
            <b:Last>Driscoll</b:Last>
            <b:First>John C.</b:First>
          </b:Person>
          <b:Person>
            <b:Last>Kraay</b:Last>
            <b:First>Aart C.</b:First>
          </b:Person>
        </b:NameList>
      </b:Author>
    </b:Author>
    <b:RefOrder>93</b:RefOrder>
  </b:Source>
  <b:Source>
    <b:Tag>Gar08</b:Tag>
    <b:SourceType>JournalArticle</b:SourceType>
    <b:Guid>{7C3A3DEE-171A-4667-8D69-F7092E13B721}</b:Guid>
    <b:Author>
      <b:Author>
        <b:NameList>
          <b:Person>
            <b:Last>Garcia</b:Last>
            <b:First>T.</b:First>
          </b:Person>
          <b:Person>
            <b:Last>Robles</b:Last>
            <b:First>M.</b:First>
          </b:Person>
        </b:NameList>
      </b:Author>
    </b:Author>
    <b:Title>Risk taking Behavior and Ownership in the Banking Industry: The Spanish Evidence</b:Title>
    <b:JournalName>Journal of Economics and Business</b:JournalName>
    <b:Year>2008</b:Year>
    <b:Pages>332-354</b:Pages>
    <b:RefOrder>94</b:RefOrder>
  </b:Source>
  <b:Source>
    <b:Tag>Omr08</b:Tag>
    <b:SourceType>JournalArticle</b:SourceType>
    <b:Guid>{3689DD51-D382-4E1B-89FB-B456AB551BA3}</b:Guid>
    <b:Title>Corporate governance and firm performance in Arab equity markets: Does ownership concentration matter?</b:Title>
    <b:JournalName>International review of Law and Economics</b:JournalName>
    <b:Year>2008</b:Year>
    <b:Pages>vol 28 (1) pp 32-45</b:Pages>
    <b:Author>
      <b:Author>
        <b:NameList>
          <b:Person>
            <b:Last>Omran</b:Last>
            <b:First>Muhammad M.</b:First>
          </b:Person>
          <b:Person>
            <b:Last>Bolbol</b:Last>
            <b:First>Ali</b:First>
          </b:Person>
          <b:Person>
            <b:Last>Fatheldin</b:Last>
            <b:First>Ayten</b:First>
          </b:Person>
        </b:NameList>
      </b:Author>
    </b:Author>
    <b:RefOrder>95</b:RefOrder>
  </b:Source>
  <b:Source>
    <b:Tag>Sti99</b:Tag>
    <b:SourceType>JournalArticle</b:SourceType>
    <b:Guid>{57860687-CD9A-43B0-8C5B-46319797EAAC}</b:Guid>
    <b:Title>Ownership concentration and corporate performance in Czech Republic</b:Title>
    <b:JournalName>Working paper</b:JournalName>
    <b:Year>1999</b:Year>
    <b:Author>
      <b:Author>
        <b:NameList>
          <b:Person>
            <b:Last>Stijin</b:Last>
            <b:First>Claessens</b:First>
          </b:Person>
          <b:Person>
            <b:Last>Djankov</b:Last>
            <b:First>Simeon</b:First>
          </b:Person>
        </b:NameList>
      </b:Author>
    </b:Author>
    <b:RefOrder>96</b:RefOrder>
  </b:Source>
  <b:Source>
    <b:Tag>Ngu15</b:Tag>
    <b:SourceType>JournalArticle</b:SourceType>
    <b:Guid>{8234856E-D135-4FB8-9337-DD61D8692D81}</b:Guid>
    <b:Title>Ownership concentration and Ownership concentration and corporate  performance from a dynamic perspective: Does national governance quality matter?</b:Title>
    <b:JournalName>International Review of Financial Analysis</b:JournalName>
    <b:Year>2015</b:Year>
    <b:Pages>vol 41 pp 148-161</b:Pages>
    <b:Author>
      <b:Author>
        <b:NameList>
          <b:Person>
            <b:Last>Nguyen</b:Last>
            <b:First>Tuan</b:First>
          </b:Person>
          <b:Person>
            <b:Last>Locke</b:Last>
            <b:First>Stuart</b:First>
          </b:Person>
          <b:Person>
            <b:Last>Reddy</b:Last>
            <b:First>Krishna</b:First>
          </b:Person>
        </b:NameList>
      </b:Author>
    </b:Author>
    <b:RefOrder>97</b:RefOrder>
  </b:Source>
  <b:Source>
    <b:Tag>Placeholder4</b:Tag>
    <b:SourceType>JournalArticle</b:SourceType>
    <b:Guid>{A6E586C6-6815-4FBD-A00F-39C817BFA1D0}</b:Guid>
    <b:Author>
      <b:Author>
        <b:NameList>
          <b:Person>
            <b:Last>John</b:Last>
            <b:First>,</b:First>
            <b:Middle>Kose</b:Middle>
          </b:Person>
          <b:Person>
            <b:Last>Litov</b:Last>
            <b:First>Lubomir</b:First>
          </b:Person>
          <b:Person>
            <b:Last>Yeung</b:Last>
            <b:First>Bernard</b:First>
          </b:Person>
        </b:NameList>
      </b:Author>
    </b:Author>
    <b:Title>Corporate Governance and Risk-Taking</b:Title>
    <b:JournalName>The Journal of Finance</b:JournalName>
    <b:Year>2008</b:Year>
    <b:Pages>1679-1728</b:Pages>
    <b:RefOrder>98</b:RefOrder>
  </b:Source>
  <b:Source>
    <b:Tag>Cha80</b:Tag>
    <b:SourceType>JournalArticle</b:SourceType>
    <b:Guid>{C05CB164-2807-4685-BDDD-E063A09C318A}</b:Guid>
    <b:Title>A re-examination of interest rate sensitivity in the common stocks of financial institutions</b:Title>
    <b:JournalName>Journal of financial research</b:JournalName>
    <b:Year>1980</b:Year>
    <b:Pages>49-55</b:Pages>
    <b:Author>
      <b:Author>
        <b:NameList>
          <b:Person>
            <b:Last>Chance</b:Last>
            <b:First>D.M</b:First>
          </b:Person>
          <b:Person>
            <b:Last>Lane</b:Last>
            <b:First>W.R.</b:First>
          </b:Person>
        </b:NameList>
      </b:Author>
    </b:Author>
    <b:RefOrder>99</b:RefOrder>
  </b:Source>
  <b:Source>
    <b:Tag>Akb17</b:Tag>
    <b:SourceType>JournalArticle</b:SourceType>
    <b:Guid>{957C4A0B-C51B-43CF-91B4-634C18F0117D}</b:Guid>
    <b:Title>Board Structure and Corporate Risk Taking in the UK Financial Sector</b:Title>
    <b:JournalName>International Review of Financial Analysis</b:JournalName>
    <b:Year>2017</b:Year>
    <b:Author>
      <b:Author>
        <b:NameList>
          <b:Person>
            <b:Last>Akbar</b:Last>
            <b:First>Saeed</b:First>
          </b:Person>
          <b:Person>
            <b:Last> Kharabsheh </b:Last>
            <b:First> Buthiena</b:First>
          </b:Person>
          <b:Person>
            <b:Last>Hughes</b:Last>
            <b:Middle>Poletti</b:Middle>
            <b:First>Jannine </b:First>
          </b:Person>
          <b:Person>
            <b:Last>Shah</b:Last>
            <b:Middle>Ali</b:Middle>
            <b:First>Syed Zulfiqar</b:First>
          </b:Person>
        </b:NameList>
      </b:Author>
    </b:Author>
    <b:RefOrder>100</b:RefOrder>
  </b:Source>
  <b:Source>
    <b:Tag>Roy52</b:Tag>
    <b:SourceType>JournalArticle</b:SourceType>
    <b:Guid>{2D29A276-745C-43CA-847F-CC1F2943CBD1}</b:Guid>
    <b:Author>
      <b:Author>
        <b:NameList>
          <b:Person>
            <b:Last>Roy</b:Last>
            <b:First>A.</b:First>
            <b:Middle>D.</b:Middle>
          </b:Person>
        </b:NameList>
      </b:Author>
    </b:Author>
    <b:Title>Safety First and the Holding of Assets</b:Title>
    <b:JournalName>Econometrica</b:JournalName>
    <b:Year>1952</b:Year>
    <b:Pages>431-449</b:Pages>
    <b:RefOrder>101</b:RefOrder>
  </b:Source>
  <b:Source>
    <b:Tag>Gre00</b:Tag>
    <b:SourceType>Book</b:SourceType>
    <b:Guid>{2A643512-8B6E-4765-81ED-2E7AFBCEDA46}</b:Guid>
    <b:Author>
      <b:Author>
        <b:NameList>
          <b:Person>
            <b:Last>Gregory</b:Last>
            <b:First>Holly</b:First>
            <b:Middle>J.</b:Middle>
          </b:Person>
        </b:NameList>
      </b:Author>
    </b:Author>
    <b:Title>International Comparison of Corporate Governance: Guidelines and Codes of Best Practice in Developing and Emerging Markets</b:Title>
    <b:Year>2000</b:Year>
    <b:City>New York</b:City>
    <b:Publisher>Weil, Gotshal &amp; Manges LLP</b:Publisher>
    <b:RefOrder>102</b:RefOrder>
  </b:Source>
  <b:Source>
    <b:Tag>Jen89</b:Tag>
    <b:SourceType>JournalArticle</b:SourceType>
    <b:Guid>{1B69BC06-DF7B-41A4-BFF4-BE54D34E86FA}</b:Guid>
    <b:Author>
      <b:Author>
        <b:NameList>
          <b:Person>
            <b:Last>Jensen</b:Last>
            <b:First>Michael</b:First>
          </b:Person>
        </b:NameList>
      </b:Author>
    </b:Author>
    <b:Title>Eclipse of the Public Corporation</b:Title>
    <b:JournalName>Harvard Business Review</b:JournalName>
    <b:Year>1989</b:Year>
    <b:Pages>61-74</b:Pages>
    <b:RefOrder>103</b:RefOrder>
  </b:Source>
  <b:Source>
    <b:Tag>Fam80</b:Tag>
    <b:SourceType>JournalArticle</b:SourceType>
    <b:Guid>{F4D04E0F-353C-45DA-9F0D-D5436B3CDFFF}</b:Guid>
    <b:Author>
      <b:Author>
        <b:NameList>
          <b:Person>
            <b:Last>Fama</b:Last>
            <b:First>Eugene</b:First>
            <b:Middle>F.</b:Middle>
          </b:Person>
        </b:NameList>
      </b:Author>
    </b:Author>
    <b:Title>Agency Problems and the Theory of the Firm</b:Title>
    <b:JournalName>The Journal of Political Economy</b:JournalName>
    <b:Year>1980</b:Year>
    <b:Pages>88-307</b:Pages>
    <b:RefOrder>104</b:RefOrder>
  </b:Source>
  <b:Source>
    <b:Tag>Hol99</b:Tag>
    <b:SourceType>JournalArticle</b:SourceType>
    <b:Guid>{5A78D740-DC59-4BD0-AE22-0A63B47D9317}</b:Guid>
    <b:Author>
      <b:Author>
        <b:NameList>
          <b:Person>
            <b:Last>Holmstrom</b:Last>
            <b:First>Bengt</b:First>
          </b:Person>
        </b:NameList>
      </b:Author>
    </b:Author>
    <b:Title>Managerial Incentive Problems: A Dynamic Perspective</b:Title>
    <b:JournalName>The Review of Economics Studies</b:JournalName>
    <b:Year>1999</b:Year>
    <b:Pages>169-182</b:Pages>
    <b:RefOrder>105</b:RefOrder>
  </b:Source>
  <b:Source>
    <b:Tag>Mur99</b:Tag>
    <b:SourceType>Book</b:SourceType>
    <b:Guid>{38B79EFB-12C5-4BEE-95F9-684A4E2E9086}</b:Guid>
    <b:Author>
      <b:Author>
        <b:NameList>
          <b:Person>
            <b:Last>Murphy</b:Last>
            <b:First>K.</b:First>
          </b:Person>
        </b:NameList>
      </b:Author>
    </b:Author>
    <b:Title>Executive Compensation, in Orley Ashenfelter and David Card (eds.), Handbook of Labor Economics</b:Title>
    <b:Year>1999</b:Year>
    <b:City>Amsterdam</b:City>
    <b:Publisher>Elsevier Science North Holland</b:Publisher>
    <b:RefOrder>106</b:RefOrder>
  </b:Source>
  <b:Source>
    <b:Tag>Per00</b:Tag>
    <b:SourceType>JournalArticle</b:SourceType>
    <b:Guid>{4F206543-AE7C-4FD1-9D38-511E8B1BE3D6}</b:Guid>
    <b:Author>
      <b:Author>
        <b:NameList>
          <b:Person>
            <b:Last>Perry</b:Last>
            <b:First>T.</b:First>
          </b:Person>
          <b:Person>
            <b:Last>Zenner</b:Last>
            <b:First>M.</b:First>
          </b:Person>
        </b:NameList>
      </b:Author>
    </b:Author>
    <b:Title>CEO Compensation in the 1990s: Shareholder Alignment or Shareholder Expropriation?</b:Title>
    <b:Year>2000</b:Year>
    <b:JournalName>Wake Forest Law Review</b:JournalName>
    <b:Pages>123-152</b:Pages>
    <b:RefOrder>107</b:RefOrder>
  </b:Source>
  <b:Source>
    <b:Tag>Smi85</b:Tag>
    <b:SourceType>JournalArticle</b:SourceType>
    <b:Guid>{A3A09213-7FAB-43FC-BB14-F62357421296}</b:Guid>
    <b:Author>
      <b:Author>
        <b:NameList>
          <b:Person>
            <b:Last>Smith</b:Last>
            <b:First>C.</b:First>
            <b:Middle>W.</b:Middle>
          </b:Person>
          <b:Person>
            <b:Last>Stulz</b:Last>
            <b:First>R.</b:First>
            <b:Middle>M.</b:Middle>
          </b:Person>
        </b:NameList>
      </b:Author>
    </b:Author>
    <b:Title>The Determinants of Firms’ Hedging Policies.</b:Title>
    <b:JournalName>Journal of Financial and Quantitative Analysis</b:JournalName>
    <b:Year>1985</b:Year>
    <b:Pages>391-405</b:Pages>
    <b:RefOrder>108</b:RefOrder>
  </b:Source>
  <b:Source>
    <b:Tag>Wri07</b:Tag>
    <b:SourceType>JournalArticle</b:SourceType>
    <b:Guid>{FAA36343-0901-4135-B785-CD0B910C689A}</b:Guid>
    <b:Author>
      <b:Author>
        <b:NameList>
          <b:Person>
            <b:Last>Wright</b:Last>
            <b:First>Peter</b:First>
          </b:Person>
          <b:Person>
            <b:Last>Kroll</b:Last>
            <b:First>Mark</b:First>
          </b:Person>
          <b:Person>
            <b:Last>Davis</b:Last>
            <b:First>Peter</b:First>
          </b:Person>
          <b:Person>
            <b:Last>Jakson</b:Last>
            <b:First>William</b:First>
            <b:Middle>T.</b:Middle>
          </b:Person>
        </b:NameList>
      </b:Author>
    </b:Author>
    <b:Title>The Influence of Chief Executive Officer`s Stock and Option Ownership on Firm Risk Taking: An Examination of Research Allocation Choices</b:Title>
    <b:JournalName>Academy of Strategic Management Journal,</b:JournalName>
    <b:Year>2007</b:Year>
    <b:Pages>47-68</b:Pages>
    <b:RefOrder>109</b:RefOrder>
  </b:Source>
  <b:Source>
    <b:Tag>Shl</b:Tag>
    <b:SourceType>JournalArticle</b:SourceType>
    <b:Guid>{1F4B5223-94D5-4FD0-BCE0-14475576EF48}</b:Guid>
    <b:Author>
      <b:Author>
        <b:NameList>
          <b:Person>
            <b:Last>Shleifer</b:Last>
            <b:First>Andrei</b:First>
          </b:Person>
          <b:Person>
            <b:Last>Visheny</b:Last>
            <b:First>Robert</b:First>
            <b:Middle>W.</b:Middle>
          </b:Person>
        </b:NameList>
      </b:Author>
    </b:Author>
    <b:Title>Large Shareholders and Corporate Control</b:Title>
    <b:JournalName>Journal of Political Economy</b:JournalName>
    <b:Year>1986</b:Year>
    <b:Pages>461-488</b:Pages>
    <b:RefOrder>110</b:RefOrder>
  </b:Source>
  <b:Source>
    <b:Tag>Placeholder5</b:Tag>
    <b:SourceType>JournalArticle</b:SourceType>
    <b:Guid>{5B8280B7-CA75-42FF-844A-B9D4636A5E78}</b:Guid>
    <b:Author>
      <b:Author>
        <b:NameList>
          <b:Person>
            <b:Last>Paligorova</b:Last>
            <b:First>Teodora</b:First>
          </b:Person>
        </b:NameList>
      </b:Author>
    </b:Author>
    <b:Title>Corporate Risk Taking and Ownership Structure. Bank of Canada Working Paper 2010-3</b:Title>
    <b:Year>2010</b:Year>
    <b:RefOrder>111</b:RefOrder>
  </b:Source>
  <b:Source>
    <b:Tag>Gil07</b:Tag>
    <b:SourceType>Book</b:SourceType>
    <b:Guid>{27819847-702F-4A74-AD85-57502257A452}</b:Guid>
    <b:Author>
      <b:Author>
        <b:NameList>
          <b:Person>
            <b:Last>Gillan</b:Last>
            <b:First>S.</b:First>
            <b:Middle>L.</b:Middle>
          </b:Person>
          <b:Person>
            <b:Last>Starks</b:Last>
            <b:First>L.</b:First>
            <b:Middle>T</b:Middle>
          </b:Person>
        </b:NameList>
      </b:Author>
      <b:BookAuthor>
        <b:NameList>
          <b:Person>
            <b:Last>Developments</b:Last>
            <b:First>Ownership</b:First>
            <b:Middle>and Governance of Enterprises: Recent Innovative</b:Middle>
          </b:Person>
        </b:NameList>
      </b:BookAuthor>
    </b:Author>
    <b:Title>Institutional Investors, Corporate Ownership, and Corporate Governance: Global Perspectives</b:Title>
    <b:JournalName>Journal of Applied Corporate Finance</b:JournalName>
    <b:Year>2003</b:Year>
    <b:Pages>36-68</b:Pages>
    <b:City>New York</b:City>
    <b:BookTitle>Sun, L. (ed.)</b:BookTitle>
    <b:Publisher>Palgrave/Macmillan</b:Publisher>
    <b:RefOrder>112</b:RefOrder>
  </b:Source>
  <b:Source>
    <b:Tag>Mor00</b:Tag>
    <b:SourceType>JournalArticle</b:SourceType>
    <b:Guid>{063080D5-95AD-434E-9A13-51503425367A}</b:Guid>
    <b:Author>
      <b:Author>
        <b:NameList>
          <b:Person>
            <b:Last>Morck</b:Last>
            <b:First>R.</b:First>
          </b:Person>
          <b:Person>
            <b:Last>Yeung</b:Last>
            <b:First>B.</b:First>
          </b:Person>
          <b:Person>
            <b:Last>Yu</b:Last>
            <b:First>W.</b:First>
          </b:Person>
        </b:NameList>
      </b:Author>
    </b:Author>
    <b:Title>The Information Content of Stock Markets: why Do Emerging Markets have Synchronous Stock Price Movements?</b:Title>
    <b:Year>2000</b:Year>
    <b:JournalName>Journal of Financial Economics</b:JournalName>
    <b:Pages>215–260</b:Pages>
    <b:RefOrder>113</b:RefOrder>
  </b:Source>
  <b:Source xmlns:b="http://schemas.openxmlformats.org/officeDocument/2006/bibliography">
    <b:Tag>Fer07</b:Tag>
    <b:SourceType>JournalArticle</b:SourceType>
    <b:Guid>{0B7D6CDE-ADFB-4289-97F4-8DDC16EE89DE}</b:Guid>
    <b:Author>
      <b:Author>
        <b:NameList>
          <b:Person>
            <b:Last>Ferreira</b:Last>
            <b:First>M.</b:First>
          </b:Person>
          <b:Person>
            <b:Last>Laux</b:Last>
            <b:First>P.</b:First>
          </b:Person>
        </b:NameList>
      </b:Author>
    </b:Author>
    <b:Title>Corporate Governance, Idiosyncratic Risk and Information Flow</b:Title>
    <b:JournalName>Journal of Finance</b:JournalName>
    <b:Year>2007</b:Year>
    <b:Pages>951-989</b:Pages>
    <b:RefOrder>114</b:RefOrder>
  </b:Source>
  <b:Source>
    <b:Tag>Placeholder6</b:Tag>
    <b:SourceType>JournalArticle</b:SourceType>
    <b:Guid>{EBFFDFAD-2092-4861-AA7E-55E830287E6D}</b:Guid>
    <b:Author>
      <b:Author>
        <b:NameList>
          <b:Person>
            <b:Last>Martinez</b:Last>
            <b:First>Constanza</b:First>
          </b:Person>
          <b:Person>
            <b:Last>Ramirez</b:Last>
            <b:First>Manue</b:First>
          </b:Person>
        </b:NameList>
      </b:Author>
    </b:Author>
    <b:Title>Ownership Structure and Risk at Colombian Banks.  Working Paper: DOCUMENTOS DE TRABAJO 008016, UNIVERSIDAD DEL ROSARIO. </b:Title>
    <b:Year>2011</b:Year>
    <b:RefOrder>115</b:RefOrder>
  </b:Source>
  <b:Source>
    <b:Tag>The08</b:Tag>
    <b:SourceType>JournalArticle</b:SourceType>
    <b:Guid>{F1ABC1FD-104E-47AF-866C-EBA3BCA4438E}</b:Guid>
    <b:Title>The Colors of Investors’ money: the Role of Institutional Investors around the World</b:Title>
    <b:Year>2008</b:Year>
    <b:Author>
      <b:Author>
        <b:NameList>
          <b:Person>
            <b:Last>Ferreira</b:Last>
            <b:First>M.</b:First>
          </b:Person>
          <b:Person>
            <b:Last>Matos</b:Last>
            <b:First>P.</b:First>
          </b:Person>
        </b:NameList>
      </b:Author>
    </b:Author>
    <b:JournalName>Journal of Financial Economics</b:JournalName>
    <b:Pages>499-533</b:Pages>
    <b:RefOrder>116</b:RefOrder>
  </b:Source>
  <b:Source>
    <b:Tag>Ngu12</b:Tag>
    <b:SourceType>JournalArticle</b:SourceType>
    <b:Guid>{0F40AE9D-7ABF-431D-8F8F-71D5BA839A0E}</b:Guid>
    <b:Author>
      <b:Author>
        <b:NameList>
          <b:Person>
            <b:Last>Nguyen</b:Last>
            <b:First>Pascal</b:First>
          </b:Person>
        </b:NameList>
      </b:Author>
    </b:Author>
    <b:Title>The Impact of Foreign Investors on the Risk-taking of Japanese Firms</b:Title>
    <b:JournalName>Journal of the Japanese and International Economies</b:JournalName>
    <b:Year>2012</b:Year>
    <b:Pages>233-248</b:Pages>
    <b:RefOrder>117</b:RefOrder>
  </b:Source>
  <b:Source>
    <b:Tag>goe12</b:Tag>
    <b:SourceType>JournalArticle</b:SourceType>
    <b:Guid>{F0A6C85D-218F-4B2D-A619-DA25FE14175B}</b:Guid>
    <b:Author>
      <b:Author>
        <b:NameList>
          <b:Person>
            <b:Last>Goergen</b:Last>
            <b:First>Marc</b:First>
          </b:Person>
        </b:NameList>
      </b:Author>
    </b:Author>
    <b:Title>International corporate governance</b:Title>
    <b:Year>2012</b:Year>
    <b:RefOrder>118</b:RefOrder>
  </b:Source>
  <b:Source>
    <b:Tag>www17</b:Tag>
    <b:SourceType>InternetSite</b:SourceType>
    <b:Guid>{9B758B23-1B74-4F79-A832-826A6BA5BE8F}</b:Guid>
    <b:Year>2017</b:Year>
    <b:InternetSiteTitle>www.investopedia.com</b:InternetSiteTitle>
    <b:RefOrder>119</b:RefOrder>
  </b:Source>
  <b:Source>
    <b:Tag>Gha05</b:Tag>
    <b:SourceType>JournalArticle</b:SourceType>
    <b:Guid>{E8347446-00B9-4862-BBB9-374322AB200E}</b:Guid>
    <b:Title>Corporate Governance, Business Group Affiliation, and Firm Performance : Descriptive Evidence from Pakistan</b:Title>
    <b:JournalName>working paper</b:JournalName>
    <b:Year>2005</b:Year>
    <b:Pages>5-35</b:Pages>
    <b:Author>
      <b:Author>
        <b:NameList>
          <b:Person>
            <b:Last>Ghani</b:Last>
            <b:First>Waqar I.</b:First>
          </b:Person>
          <b:Person>
            <b:Last>Ashraf</b:Last>
            <b:First>Junaid</b:First>
          </b:Person>
        </b:NameList>
      </b:Author>
    </b:Author>
    <b:RefOrder>120</b:RefOrder>
  </b:Source>
  <b:Source>
    <b:Tag>Jar87</b:Tag>
    <b:SourceType>JournalArticle</b:SourceType>
    <b:Guid>{CA20370E-AF0A-4C98-B79A-83A976CB775C}</b:Guid>
    <b:Author>
      <b:Author>
        <b:NameList>
          <b:Person>
            <b:Last>Jarrell</b:Last>
            <b:First>Gregg</b:First>
            <b:Middle>A.</b:Middle>
          </b:Person>
          <b:Person>
            <b:Last>Poulsen</b:Last>
            <b:First>Annette</b:First>
            <b:Middle>B.</b:Middle>
          </b:Person>
        </b:NameList>
      </b:Author>
    </b:Author>
    <b:Title>Shark Repellents and Stock Prices:The Affects on Antitakeover Amendments Since 1989</b:Title>
    <b:JournalName>Juornal of Financial Economics</b:JournalName>
    <b:Year>1987</b:Year>
    <b:Pages>127-168</b:Pages>
    <b:RefOrder>121</b:RefOrder>
  </b:Source>
  <b:Source>
    <b:Tag>Jac05</b:Tag>
    <b:SourceType>JournalArticle</b:SourceType>
    <b:Guid>{DC017999-FD5A-4F07-880A-5A5D2342E730}</b:Guid>
    <b:Title>Continuity and Change in Corporate Governance: comparing Germany and Japan</b:Title>
    <b:JournalName>Corporate Governance An International Review</b:JournalName>
    <b:Year>2005</b:Year>
    <b:Pages>vol 13(3) 351-361</b:Pages>
    <b:Author>
      <b:Author>
        <b:NameList>
          <b:Person>
            <b:Last>Jackson</b:Last>
            <b:First>Gregory</b:First>
          </b:Person>
          <b:Person>
            <b:Last>Moerke</b:Last>
            <b:First>Andreas</b:First>
          </b:Person>
        </b:NameList>
      </b:Author>
    </b:Author>
    <b:RefOrder>122</b:RefOrder>
  </b:Source>
  <b:Source>
    <b:Tag>Placeholder7</b:Tag>
    <b:SourceType>JournalArticle</b:SourceType>
    <b:Guid>{B169BF7D-109D-42F7-A9E2-0CE9345DCD47}</b:Guid>
    <b:Author>
      <b:Author>
        <b:NameList>
          <b:Person>
            <b:Last>Nguyen</b:Last>
            <b:First>Pascal</b:First>
          </b:Person>
        </b:NameList>
      </b:Author>
    </b:Author>
    <b:Title>Corporate governance and Risk-taking: Evidence from Japanese firms</b:Title>
    <b:JournalName>Pacific-Basin Finance Journal</b:JournalName>
    <b:Year>2011</b:Year>
    <b:Pages>278–297</b:Pages>
    <b:RefOrder>123</b:RefOrder>
  </b:Source>
  <b:Source>
    <b:Tag>Placeholder8</b:Tag>
    <b:SourceType>ConferenceProceedings</b:SourceType>
    <b:Guid>{F26F0DA8-92E2-4724-BB93-7070B6301A0D}</b:Guid>
    <b:Author>
      <b:Author>
        <b:NameList>
          <b:Person>
            <b:Last>Hutchinson</b:Last>
            <b:First>Marion</b:First>
          </b:Person>
          <b:Person>
            <b:Last>Seamer</b:Last>
            <b:First>Michael</b:First>
          </b:Person>
          <b:Person>
            <b:Last>Chapple</b:Last>
            <b:First>Larelle</b:First>
            <b:Middle>Ellie</b:Middle>
          </b:Person>
        </b:NameList>
      </b:Author>
    </b:Author>
    <b:Title>Institutional Investors, Risk/Performance and Corporate Governance: Practical Lessons from the Global Financial Crisis</b:Title>
    <b:Year>2013</b:Year>
    <b:Pages>1-46</b:Pages>
    <b:ConferenceName>The International Journal of Accounting Symposium</b:ConferenceName>
    <b:City>Wuhan</b:City>
    <b:Publisher> Elsevier</b:Publisher>
    <b:RefOrder>124</b:RefOrder>
  </b:Source>
  <b:Source>
    <b:Tag>Her03</b:Tag>
    <b:SourceType>JournalArticle</b:SourceType>
    <b:Guid>{6FDC9106-55E5-4D9F-ADEF-E8B38B9F3E91}</b:Guid>
    <b:Title>Boards of Directors as an Endogenously Determined Institution: A Survey of the Economic Literature</b:Title>
    <b:JournalName>FRBNY Economic review</b:JournalName>
    <b:Year>2003</b:Year>
    <b:Pages>1-22</b:Pages>
    <b:Author>
      <b:Author>
        <b:NameList>
          <b:Person>
            <b:Last>Hermalin</b:Last>
            <b:First>Benjamin E.</b:First>
          </b:Person>
          <b:Person>
            <b:Last>Weisbach</b:Last>
            <b:First>Michael S.</b:First>
          </b:Person>
        </b:NameList>
      </b:Author>
    </b:Author>
    <b:RefOrder>125</b:RefOrder>
  </b:Source>
  <b:Source>
    <b:Tag>Chu15</b:Tag>
    <b:SourceType>JournalArticle</b:SourceType>
    <b:Guid>{B621D7E5-9EAB-44C0-BE86-00785078F304}</b:Guid>
    <b:Title>Effect of Board Structure on Risk Taking: The Moderating Role of Firm Performance</b:Title>
    <b:Year>2015</b:Year>
    <b:JournalName>Research Journal of Finance and Accounting</b:JournalName>
    <b:Pages>220-227 vol 6, No.10</b:Pages>
    <b:Author>
      <b:Author>
        <b:NameList>
          <b:Person>
            <b:Last>Chumba</b:Last>
            <b:Middle>Kimutai</b:Middle>
            <b:First>Sammy</b:First>
          </b:Person>
        </b:NameList>
      </b:Author>
    </b:Author>
    <b:RefOrder>126</b:RefOrder>
  </b:Source>
  <b:Source>
    <b:Tag>Erk12</b:Tag>
    <b:SourceType>JournalArticle</b:SourceType>
    <b:Guid>{525BDDCA-135D-437D-9A9B-55AC7ED2EEAA}</b:Guid>
    <b:JournalName>corporate govenance in 2007-2008 financial crisis:Evidence from financial institutions world wide.</b:JournalName>
    <b:Year>2012</b:Year>
    <b:Pages>389-411</b:Pages>
    <b:Author>
      <b:Author>
        <b:NameList>
          <b:Person>
            <b:Last> Erkens</b:Last>
            <b:First>David H.</b:First>
          </b:Person>
          <b:Person>
            <b:Last>Hung</b:Last>
            <b:First>Mingyi</b:First>
          </b:Person>
          <b:Person>
            <b:Last>Matos</b:Last>
            <b:First>Pedro</b:First>
          </b:Person>
        </b:NameList>
      </b:Author>
    </b:Author>
    <b:RefOrder>127</b:RefOrder>
  </b:Source>
  <b:Source>
    <b:Tag>Nti13</b:Tag>
    <b:SourceType>JournalArticle</b:SourceType>
    <b:Guid>{C2DF2C78-8DE5-41E0-A48E-DD3BF52B44D8}</b:Guid>
    <b:Title>Corporate governance and risk reporting in South Africa: A study of corporate risk disclosures in the pre- and post-2007/2008 global financial crisis periods</b:Title>
    <b:JournalName>International Review of Financial Analysis</b:JournalName>
    <b:Year>2013</b:Year>
    <b:Pages>363-383</b:Pages>
    <b:Author>
      <b:Author>
        <b:NameList>
          <b:Person>
            <b:Last>Ntim</b:Last>
            <b:First>CG</b:First>
          </b:Person>
          <b:Person>
            <b:Last>Lindop</b:Last>
            <b:First>S.</b:First>
          </b:Person>
          <b:Person>
            <b:Last>Thomas</b:Last>
            <b:First>D.A</b:First>
          </b:Person>
        </b:NameList>
      </b:Author>
    </b:Author>
    <b:RefOrder>128</b:RefOrder>
  </b:Source>
  <b:Source>
    <b:Tag>Eis98</b:Tag>
    <b:SourceType>JournalArticle</b:SourceType>
    <b:Guid>{B758ACB8-32E8-4168-BCDB-4F0AD364FE9E}</b:Guid>
    <b:Title>"Larger Board Size and Decreasing Firm Value in Small Firms"</b:Title>
    <b:JournalName>Journal of financial Economics</b:JournalName>
    <b:Year>1998</b:Year>
    <b:Pages>48, 35-54</b:Pages>
    <b:Author>
      <b:Author>
        <b:NameList>
          <b:Person>
            <b:Last>Eisenberg </b:Last>
            <b:First>Theodore </b:First>
          </b:Person>
          <b:Person>
            <b:Last>Sundgren</b:Last>
            <b:First>Stefan</b:First>
          </b:Person>
          <b:Person>
            <b:Last>T.wells</b:Last>
            <b:First>Martin</b:First>
          </b:Person>
        </b:NameList>
      </b:Author>
    </b:Author>
    <b:RefOrder>129</b:RefOrder>
  </b:Source>
  <b:Source>
    <b:Tag>Fic08</b:Tag>
    <b:SourceType>JournalArticle</b:SourceType>
    <b:Guid>{48485761-2E42-4F7C-AB5A-5D6F2ECCDF1B}</b:Guid>
    <b:Title>Can corporate governance save distressed firms from bankruptcy? An empirical analysis</b:Title>
    <b:JournalName>Review of quantitative finance and Accounting</b:JournalName>
    <b:Year>2008</b:Year>
    <b:Pages>vol 30, 225-251</b:Pages>
    <b:Author>
      <b:Author>
        <b:NameList>
          <b:Person>
            <b:Last>Fich</b:Last>
            <b:First>Eliezer </b:First>
          </b:Person>
          <b:Person>
            <b:Last>Slezak</b:Last>
            <b:First>Steve </b:First>
          </b:Person>
        </b:NameList>
      </b:Author>
    </b:Author>
    <b:RefOrder>130</b:RefOrder>
  </b:Source>
  <b:Source>
    <b:Tag>Zah92</b:Tag>
    <b:SourceType>JournalArticle</b:SourceType>
    <b:Guid>{49F9FD7E-A0C6-4BDE-B4FE-D6A0B0B59EFF}</b:Guid>
    <b:Title>Board composition from a strategic contingency prospective</b:Title>
    <b:JournalName>" Journal of Management Studies,</b:JournalName>
    <b:Year>1992</b:Year>
    <b:Pages>411-438</b:Pages>
    <b:Author>
      <b:Author>
        <b:NameList>
          <b:Person>
            <b:First>Zahra</b:First>
          </b:Person>
          <b:Person>
            <b:First>Pearce</b:First>
          </b:Person>
        </b:NameList>
      </b:Author>
    </b:Author>
    <b:RefOrder>131</b:RefOrder>
  </b:Source>
  <b:Source>
    <b:Tag>Goo94</b:Tag>
    <b:SourceType>JournalArticle</b:SourceType>
    <b:Guid>{F5BDD86E-2127-43D7-8ABC-2A8F56FA0DFE}</b:Guid>
    <b:Title>The effects of board size and diversity on strategic change</b:Title>
    <b:JournalName>Strategic Management Journal</b:JournalName>
    <b:Year>1994</b:Year>
    <b:Pages>241-250</b:Pages>
    <b:Author>
      <b:Author>
        <b:NameList>
          <b:Person>
            <b:Last>Goodstein</b:Last>
            <b:First>Jerry</b:First>
          </b:Person>
          <b:Person>
            <b:Last>Gautam</b:Last>
            <b:First>Kanak</b:First>
          </b:Person>
          <b:Person>
            <b:Last>Boeker</b:Last>
            <b:First>Warren</b:First>
          </b:Person>
        </b:NameList>
      </b:Author>
    </b:Author>
    <b:RefOrder>132</b:RefOrder>
  </b:Source>
  <b:Source>
    <b:Tag>Stu88</b:Tag>
    <b:SourceType>JournalArticle</b:SourceType>
    <b:Guid>{69E2DC6E-6C82-435A-9EC4-7C4B9F653DFD}</b:Guid>
    <b:Title>Managerial control of voting rights: Financing policies and the market for corporate control</b:Title>
    <b:JournalName>Journal of financial Economics</b:JournalName>
    <b:Year>1988</b:Year>
    <b:Pages>vol 20, 25-54</b:Pages>
    <b:Author>
      <b:Author>
        <b:NameList>
          <b:Person>
            <b:Last>Stulz</b:Last>
            <b:First>Rene</b:First>
          </b:Person>
        </b:NameList>
      </b:Author>
    </b:Author>
    <b:RefOrder>133</b:RefOrder>
  </b:Source>
  <b:Source>
    <b:Tag>Mec76</b:Tag>
    <b:SourceType>JournalArticle</b:SourceType>
    <b:Guid>{49289294-91A8-4863-9958-5B30497C7DB4}</b:Guid>
    <b:Title>Theory of the firm: Managerial behavior, agency costs and ownership structure</b:Title>
    <b:JournalName>Journal of Financial Economics</b:JournalName>
    <b:Year>1976</b:Year>
    <b:Pages>305-360</b:Pages>
    <b:Author>
      <b:Author>
        <b:NameList>
          <b:Person>
            <b:Last>Meckling</b:Last>
            <b:First>William H.</b:First>
          </b:Person>
          <b:Person>
            <b:Last>Jensen</b:Last>
            <b:First>Micheal C</b:First>
          </b:Person>
        </b:NameList>
      </b:Author>
    </b:Author>
    <b:RefOrder>134</b:RefOrder>
  </b:Source>
  <b:Source>
    <b:Tag>Bay90</b:Tag>
    <b:SourceType>JournalArticle</b:SourceType>
    <b:Guid>{8F45C53F-1FA9-4082-84A1-ECCE33F5F863}</b:Guid>
    <b:Title>The Composition of Boards of Directors and Strategic Control: Effects on Corporate Strategy </b:Title>
    <b:JournalName>The Academy of Management Review</b:JournalName>
    <b:Year>1990</b:Year>
    <b:Pages>vol 15, 72-87</b:Pages>
    <b:Author>
      <b:Author>
        <b:NameList>
          <b:Person>
            <b:Last> Baysinger</b:Last>
            <b:First>Barry</b:First>
          </b:Person>
          <b:Person>
            <b:Last>Hoskisson</b:Last>
            <b:First>Robert E. </b:First>
          </b:Person>
        </b:NameList>
      </b:Author>
    </b:Author>
    <b:RefOrder>135</b:RefOrder>
  </b:Source>
  <b:Source>
    <b:Tag>LLi92</b:Tag>
    <b:SourceType>JournalArticle</b:SourceType>
    <b:Guid>{FCAEBE9A-1168-4F19-A457-4E06471C3AE8}</b:Guid>
    <b:Title>Corporate governance and performance: Evidence from Italian Companies</b:Title>
    <b:JournalName>Scientific Research</b:JournalName>
    <b:Year>1992</b:Year>
    <b:Pages>59-77</b:Pages>
    <b:Author>
      <b:Author>
        <b:NameList>
          <b:Person>
            <b:First>Lipton L.</b:First>
          </b:Person>
          <b:Person>
            <b:First>Lorsch J.</b:First>
          </b:Person>
        </b:NameList>
      </b:Author>
    </b:Author>
    <b:RefOrder>136</b:RefOrder>
  </b:Source>
  <b:Source>
    <b:Tag>Dem85</b:Tag>
    <b:SourceType>JournalArticle</b:SourceType>
    <b:Guid>{4A5AFFD6-5920-4BF6-BEB9-9B8241314F00}</b:Guid>
    <b:Title>The Structure of Corporate Ownership: Causes and Consequences</b:Title>
    <b:JournalName>Journal of political economy</b:JournalName>
    <b:Year>1985</b:Year>
    <b:Pages>1155-1177</b:Pages>
    <b:Author>
      <b:Author>
        <b:NameList>
          <b:Person>
            <b:Last>Demsetz </b:Last>
            <b:First>Harold </b:First>
          </b:Person>
          <b:Person>
            <b:Last>Lehn</b:Last>
            <b:First>Kenneth </b:First>
          </b:Person>
        </b:NameList>
      </b:Author>
    </b:Author>
    <b:RefOrder>137</b:RefOrder>
  </b:Source>
  <b:Source>
    <b:Tag>LCo08</b:Tag>
    <b:SourceType>JournalArticle</b:SourceType>
    <b:Guid>{09A8AA30-2621-48C7-A02B-A486A60845C7}</b:Guid>
    <b:Title>Boards: Does one size fit all?</b:Title>
    <b:JournalName>Journal of Financial Economics</b:JournalName>
    <b:Year>2008</b:Year>
    <b:Pages>329-356</b:Pages>
    <b:Author>
      <b:Author>
        <b:NameList>
          <b:Person>
            <b:Last>L.Coles</b:Last>
            <b:First>Jeffery </b:First>
          </b:Person>
          <b:Person>
            <b:Last>D.Daniel</b:Last>
            <b:First>Naveen</b:First>
          </b:Person>
          <b:Person>
            <b:Last>Naveen</b:Last>
            <b:First>Lalitha</b:First>
          </b:Person>
        </b:NameList>
      </b:Author>
    </b:Author>
    <b:RefOrder>138</b:RefOrder>
  </b:Source>
  <b:Source>
    <b:Tag>Che07</b:Tag>
    <b:SourceType>JournalArticle</b:SourceType>
    <b:Guid>{DE8C727F-5CD9-426C-8476-C784AE877D69}</b:Guid>
    <b:Title>Board Size and the Variability of corporateperformance</b:Title>
    <b:JournalName>Journal of Financial Economics</b:JournalName>
    <b:Year>2008</b:Year>
    <b:Pages>157-176</b:Pages>
    <b:Author>
      <b:Author>
        <b:NameList>
          <b:Person>
            <b:Last>Cheng</b:Last>
            <b:First>Shijun</b:First>
          </b:Person>
        </b:NameList>
      </b:Author>
    </b:Author>
    <b:RefOrder>139</b:RefOrder>
  </b:Source>
  <b:Source>
    <b:Tag>Buc08</b:Tag>
    <b:SourceType>JournalArticle</b:SourceType>
    <b:Guid>{7009A26F-58BC-43E5-ADD6-7453D5F66A4E}</b:Guid>
    <b:Title>CEO Duality Leadership  And Firm Risk-Taking Propensity </b:Title>
    <b:JournalName>The Journal of Applied Business Research</b:JournalName>
    <b:Year>2008</b:Year>
    <b:Pages>vol 24,27-42</b:Pages>
    <b:Author>
      <b:Author>
        <b:NameList>
          <b:Person>
            <b:Last> Buchanan</b:Last>
            <b:First>Robert</b:First>
          </b:Person>
          <b:Person>
            <b:Last>Hee-Kim</b:Last>
            <b:First>Kong</b:First>
          </b:Person>
        </b:NameList>
      </b:Author>
    </b:Author>
    <b:RefOrder>140</b:RefOrder>
  </b:Source>
  <b:Source>
    <b:Tag>Kir09</b:Tag>
    <b:SourceType>JournalArticle</b:SourceType>
    <b:Guid>{24690255-88EA-409B-B63A-4B1BE07A0985}</b:Guid>
    <b:Title>The Corporate Governance Lessons from the Financial Crisis </b:Title>
    <b:JournalName>Financial Market Trends</b:JournalName>
    <b:Year>2009</b:Year>
    <b:Pages>1-30</b:Pages>
    <b:Author>
      <b:Author>
        <b:NameList>
          <b:Person>
            <b:Last>Kirkpatrick</b:Last>
            <b:First>Grant  </b:First>
          </b:Person>
        </b:NameList>
      </b:Author>
    </b:Author>
    <b:RefOrder>141</b:RefOrder>
  </b:Source>
  <b:Source>
    <b:Tag>mag11</b:Tag>
    <b:SourceType>JournalArticle</b:SourceType>
    <b:Guid>{19EEB38A-0EDC-43BF-BE7D-910B7BD8074D}</b:Guid>
    <b:Title>Accounting, Governance and the Crisis: Is Risk the Missing Link?</b:Title>
    <b:JournalName>European Accounting Review</b:JournalName>
    <b:Year>2011</b:Year>
    <b:Pages>215-231</b:Pages>
    <b:Author>
      <b:Author>
        <b:NameList>
          <b:Person>
            <b:Last>magnan</b:Last>
            <b:First>Michel</b:First>
          </b:Person>
          <b:Person>
            <b:Last>Markarian</b:Last>
            <b:First>Garen</b:First>
          </b:Person>
        </b:NameList>
      </b:Author>
    </b:Author>
    <b:RefOrder>142</b:RefOrder>
  </b:Source>
  <b:Source>
    <b:Tag>Win12</b:Tag>
    <b:SourceType>JournalArticle</b:SourceType>
    <b:Guid>{D9D5D204-7EA2-486E-A839-1DF2C50DA2CB}</b:Guid>
    <b:Title>Endogeneityandthedynamicsofinternalcorporategovernance</b:Title>
    <b:JournalName>Journal  of Financial Economics</b:JournalName>
    <b:Year>2012</b:Year>
    <b:Pages>VOL 105,581-606</b:Pages>
    <b:Author>
      <b:Author>
        <b:NameList>
          <b:Person>
            <b:Last>Wintoki</b:Last>
            <b:First>M.</b:First>
            <b:Middle>Babajide</b:Middle>
          </b:Person>
          <b:Person>
            <b:Last>Linck</b:Last>
            <b:First>James</b:First>
            <b:Middle>S</b:Middle>
          </b:Person>
          <b:Person>
            <b:Last>Netter</b:Last>
            <b:First>Jeffry</b:First>
            <b:Middle>M</b:Middle>
          </b:Person>
        </b:NameList>
      </b:Author>
    </b:Author>
    <b:RefOrder>143</b:RefOrder>
  </b:Source>
  <b:Source>
    <b:Tag>Don91</b:Tag>
    <b:SourceType>JournalArticle</b:SourceType>
    <b:Guid>{125F875F-F3A6-444C-8AA5-D066DD537425}</b:Guid>
    <b:Title>"Stewardship Theory or Agency Theory: CEO Governance and Shareholder Returns</b:Title>
    <b:JournalName>"Australian Journal of Management</b:JournalName>
    <b:Year>1991</b:Year>
    <b:Pages>vol 16 49-65</b:Pages>
    <b:Author>
      <b:Author>
        <b:NameList>
          <b:Person>
            <b:Last>Donaldson</b:Last>
            <b:First>L</b:First>
          </b:Person>
          <b:Person>
            <b:Last>Davis</b:Last>
            <b:First>J</b:First>
          </b:Person>
        </b:NameList>
      </b:Author>
    </b:Author>
    <b:RefOrder>144</b:RefOrder>
  </b:Source>
  <b:Source>
    <b:Tag>Lew12</b:Tag>
    <b:SourceType>JournalArticle</b:SourceType>
    <b:Guid>{ED7018D4-3C06-4A12-8AFC-9E4592E83B44}</b:Guid>
    <b:Title>“CEO Power and Risk-taking: evidence from the subprime Lending industry"</b:Title>
    <b:JournalName>Corporate Governance: An International Review</b:JournalName>
    <b:Year>2012</b:Year>
    <b:Pages>289-307</b:Pages>
    <b:Author>
      <b:Author>
        <b:NameList>
          <b:Person>
            <b:First>Lewellyn K.B</b:First>
          </b:Person>
          <b:Person>
            <b:Last>Kahle M.I</b:Last>
            <b:First>Muller</b:First>
          </b:Person>
        </b:NameList>
      </b:Author>
    </b:Author>
    <b:RefOrder>145</b:RefOrder>
  </b:Source>
  <b:Source xmlns:b="http://schemas.openxmlformats.org/officeDocument/2006/bibliography">
    <b:Tag>Rac13</b:Tag>
    <b:SourceType>JournalArticle</b:SourceType>
    <b:Guid>{552A80FB-34E5-451F-87D5-73485CC9CF31}</b:Guid>
    <b:Title>"Banking Governance and Risk: The Case of Tunisian Conventional banks"</b:Title>
    <b:JournalName>Review Of Economic Perspectives,</b:JournalName>
    <b:Year>2013</b:Year>
    <b:Pages>vol 13</b:Pages>
    <b:Author>
      <b:Author>
        <b:NameList>
          <b:Person>
            <b:First>Rachdi H,</b:First>
          </b:Person>
          <b:Person>
            <b:First>Trabelsi M.,</b:First>
          </b:Person>
          <b:Person>
            <b:First>Trad N.,</b:First>
          </b:Person>
        </b:NameList>
      </b:Author>
    </b:Author>
    <b:RefOrder>146</b:RefOrder>
  </b:Source>
  <b:Source>
    <b:Tag>Sal12</b:Tag>
    <b:SourceType>JournalArticle</b:SourceType>
    <b:Guid>{982A7C6F-EE09-4AD3-B29E-7826CB2A44D9}</b:Guid>
    <b:Title>Effect of the Internal Banking Mechanisms of Governance on the Risk Risk taking by the Tsunami Banks</b:Title>
    <b:JournalName>International Journal of Economics financre and Management</b:JournalName>
    <b:Year>2012</b:Year>
    <b:Pages>vol 1</b:Pages>
    <b:Author>
      <b:Author>
        <b:NameList>
          <b:Person>
            <b:Last>Salhi</b:Last>
            <b:First>Bassem </b:First>
          </b:Person>
          <b:Person>
            <b:Last>Boujelbene</b:Last>
            <b:First>B  </b:First>
          </b:Person>
        </b:NameList>
      </b:Author>
    </b:Author>
    <b:RefOrder>147</b:RefOrder>
  </b:Source>
  <b:Source>
    <b:Tag>Dho13</b:Tag>
    <b:SourceType>JournalArticle</b:SourceType>
    <b:Guid>{F5E85C5C-E9B1-4E42-8E60-053F25D6853D}</b:Guid>
    <b:Title>"Board of director’s Characteristics and Bank’s Insolvency Risk: Evidence from Tunisia</b:Title>
    <b:Year>2013</b:Year>
    <b:Pages>vol 3 no 4</b:Pages>
    <b:Author>
      <b:Author>
        <b:NameList>
          <b:Person>
            <b:Last>Dhouibi</b:Last>
            <b:First>Raoudha</b:First>
          </b:Person>
        </b:NameList>
      </b:Author>
    </b:Author>
    <b:RefOrder>148</b:RefOrder>
  </b:Source>
  <b:Source>
    <b:Tag>Wei02</b:Tag>
    <b:SourceType>JournalArticle</b:SourceType>
    <b:Guid>{C977C0AD-AF98-405A-9D89-5B153485558F}</b:Guid>
    <b:Title>Internal and External Governance Mechanisms: Their Impact on the Performance of Large UK Public Companies</b:Title>
    <b:JournalName>Journal of Business Finance and Accounting</b:JournalName>
    <b:Year>2002</b:Year>
    <b:Pages>579-611</b:Pages>
    <b:Author>
      <b:Author>
        <b:NameList>
          <b:Person>
            <b:Last>Weir</b:Last>
            <b:First>Charlie</b:First>
          </b:Person>
          <b:Person>
            <b:Last>Mcknight</b:Last>
            <b:First>Philip j</b:First>
          </b:Person>
        </b:NameList>
      </b:Author>
    </b:Author>
    <b:RefOrder>149</b:RefOrder>
  </b:Source>
  <b:Source>
    <b:Tag>Flo06</b:Tag>
    <b:SourceType>JournalArticle</b:SourceType>
    <b:Guid>{97F097A3-0F02-4DB6-9C77-91072D1227EC}</b:Guid>
    <b:Title>Internal corporate governance mechanisms and corporate performance: evidence for UK firms</b:Title>
    <b:JournalName>Applied Financial Economic letters</b:JournalName>
    <b:Year>2006</b:Year>
    <b:Pages>211-216</b:Pages>
    <b:Author>
      <b:Author>
        <b:NameList>
          <b:Person>
            <b:Last>Florackis</b:Last>
            <b:First>chrisostomos</b:First>
          </b:Person>
        </b:NameList>
      </b:Author>
    </b:Author>
    <b:RefOrder>150</b:RefOrder>
  </b:Source>
  <b:Source>
    <b:Tag>Flo09</b:Tag>
    <b:SourceType>JournalArticle</b:SourceType>
    <b:Guid>{A040C5ED-E784-4261-B38F-74D608D6F31D}</b:Guid>
    <b:Title>Managerial ownership and performance</b:Title>
    <b:JournalName>Journal of Business Research</b:JournalName>
    <b:Year>2009</b:Year>
    <b:Pages>1350-1357</b:Pages>
    <b:Author>
      <b:Author>
        <b:NameList>
          <b:Person>
            <b:Last>Florackis</b:Last>
            <b:First>Chrisostomos</b:First>
          </b:Person>
          <b:Person>
            <b:Last>Kostakis</b:Last>
            <b:First>Alexandros</b:First>
          </b:Person>
          <b:Person>
            <b:Last>Ozkan</b:Last>
            <b:First>Aydin</b:First>
          </b:Person>
        </b:NameList>
      </b:Author>
    </b:Author>
    <b:RefOrder>151</b:RefOrder>
  </b:Source>
  <b:Source>
    <b:Tag>Ada03</b:Tag>
    <b:SourceType>JournalArticle</b:SourceType>
    <b:Guid>{41CE2028-85BD-4420-8589-A19FCFE1B6BB}</b:Guid>
    <b:Title>Is Corporate Governance Different for Bank Holding Companies, Federal Reserve Bank of New York</b:Title>
    <b:JournalName>Economic Policy Review</b:JournalName>
    <b:Year>2003</b:Year>
    <b:Pages>vol 9, 123-141</b:Pages>
    <b:Author>
      <b:Author>
        <b:NameList>
          <b:Person>
            <b:First>Adam</b:First>
          </b:Person>
          <b:Person>
            <b:First>Mehran</b:First>
          </b:Person>
        </b:NameList>
      </b:Author>
    </b:Author>
    <b:RefOrder>152</b:RefOrder>
  </b:Source>
  <b:Source>
    <b:Tag>Fer12</b:Tag>
    <b:SourceType>JournalArticle</b:SourceType>
    <b:Guid>{01869A92-B49B-4537-AAA9-0E5C2612AE16}</b:Guid>
    <b:Title>THE IMPACT OF THE BOARD OF DIRECTORS CHARACTERISTICS ON CORPORATE PERFORMANCE AND RISK-TAKING BEFORE AND DURING THE GLOBAL FINANCIAL CRISIS</b:Title>
    <b:JournalName>Review of Managerial Science</b:JournalName>
    <b:Year>2012</b:Year>
    <b:Pages>1-19</b:Pages>
    <b:Author>
      <b:Author>
        <b:NameList>
          <b:Person>
            <b:Last>Ferrero Ferrero</b:Last>
            <b:First>Idoya </b:First>
          </b:Person>
          <b:Person>
            <b:Last> Ángeles </b:Last>
            <b:First> María</b:First>
          </b:Person>
          <b:Person>
            <b:Last>Muñoz</b:Last>
            <b:Middle>Jesús  </b:Middle>
            <b:First> María </b:First>
          </b:Person>
          <b:Person>
            <b:Last>Torres</b:Last>
            <b:First> Muñoz</b:First>
          </b:Person>
        </b:NameList>
      </b:Author>
    </b:Author>
    <b:RefOrder>153</b:RefOrder>
  </b:Source>
  <b:Source>
    <b:Tag>Nak12</b:Tag>
    <b:SourceType>JournalArticle</b:SourceType>
    <b:Guid>{85A13EE9-2924-46DD-AEA4-AF1CC61D9EB3}</b:Guid>
    <b:Title>"Board Size and Corporate Risk Taking: Further Evidence from Japan" Corporate governance</b:Title>
    <b:JournalName>An International Review</b:JournalName>
    <b:Year>2012</b:Year>
    <b:Pages>20, 369-387</b:Pages>
    <b:Author>
      <b:Author>
        <b:NameList>
          <b:Person>
            <b:First>Nakano</b:First>
          </b:Person>
          <b:Person>
            <b:First>M</b:First>
          </b:Person>
          <b:Person>
            <b:First>Nguyen</b:First>
          </b:Person>
        </b:NameList>
      </b:Author>
    </b:Author>
    <b:RefOrder>154</b:RefOrder>
  </b:Source>
  <b:Source>
    <b:Tag>Rac11</b:Tag>
    <b:SourceType>JournalArticle</b:SourceType>
    <b:Guid>{81C083FD-4EB3-4E55-973A-104C3E1193D3}</b:Guid>
    <b:Title>"Board Characteristics ,Performance and Risk Taking Behaviour in Tunisian Banks"</b:Title>
    <b:JournalName>International Journal of Business and Management</b:JournalName>
    <b:Year>2011</b:Year>
    <b:Pages>VOL 6</b:Pages>
    <b:Author>
      <b:Author>
        <b:NameList>
          <b:Person>
            <b:First>Rachdi</b:First>
          </b:Person>
          <b:Person>
            <b:First>H</b:First>
          </b:Person>
          <b:Person>
            <b:First>Ben I</b:First>
          </b:Person>
        </b:NameList>
      </b:Author>
    </b:Author>
    <b:RefOrder>155</b:RefOrder>
  </b:Source>
  <b:Source>
    <b:Tag>Min11</b:Tag>
    <b:SourceType>JournalArticle</b:SourceType>
    <b:Guid>{8AC98718-8F8C-4076-B80A-F29F03F759AC}</b:Guid>
    <b:Title>Do Independence and Financial Expertise of the Board Matter for Risk Taking and Performance</b:Title>
    <b:JournalName>Fisher college of business working paper series</b:JournalName>
    <b:Year>2011</b:Year>
    <b:Author>
      <b:Author>
        <b:NameList>
          <b:Person>
            <b:Last>Minton</b:Last>
            <b:First>Bernadette </b:First>
          </b:Person>
          <b:Person>
            <b:Last>Taillard</b:Last>
            <b:First>Jérôme P. A. </b:First>
          </b:Person>
          <b:Person>
            <b:Last> Williamson</b:Last>
            <b:First>Rohan</b:First>
          </b:Person>
        </b:NameList>
      </b:Author>
    </b:Author>
    <b:RefOrder>156</b:RefOrder>
  </b:Source>
  <b:Source>
    <b:Tag>Sal121</b:Tag>
    <b:SourceType>JournalArticle</b:SourceType>
    <b:Guid>{A90F2D0B-D199-48C2-8D5F-8B38C8F1A8CB}</b:Guid>
    <b:Title>Effect of the Internal Banking Mechanisms of Governance on the Risk-taking by the Tunisian Banks </b:Title>
    <b:JournalName>International journal of Economics</b:JournalName>
    <b:Year>2012</b:Year>
    <b:Pages>1-12</b:Pages>
    <b:Author>
      <b:Author>
        <b:NameList>
          <b:Person>
            <b:Last>Salhi</b:Last>
            <b:First>Bassem </b:First>
          </b:Person>
          <b:Person>
            <b:Last>Boujelbene</b:Last>
            <b:First>Younes </b:First>
          </b:Person>
        </b:NameList>
      </b:Author>
    </b:Author>
    <b:RefOrder>157</b:RefOrder>
  </b:Source>
  <b:Source>
    <b:Tag>Ren11</b:Tag>
    <b:SourceType>JournalArticle</b:SourceType>
    <b:Guid>{15ED15E4-8685-4A7F-8441-C5516E355FE4}</b:Guid>
    <b:Title>"Female participation in TMT and firm performance: evidence from Chinese private enterprises" l</b:Title>
    <b:JournalName>Nankai Business Review International</b:JournalName>
    <b:Year>2011</b:Year>
    <b:Pages>vol 2, 140-157</b:Pages>
    <b:Author>
      <b:Author>
        <b:NameList>
          <b:Person>
            <b:First>Ren</b:First>
          </b:Person>
          <b:Person>
            <b:First>T</b:First>
          </b:Person>
          <b:Person>
            <b:First>Wang</b:First>
          </b:Person>
          <b:Person>
            <b:First>Z</b:First>
          </b:Person>
        </b:NameList>
      </b:Author>
    </b:Author>
    <b:RefOrder>158</b:RefOrder>
  </b:Source>
  <b:Source>
    <b:Tag>Wan09</b:Tag>
    <b:SourceType>JournalArticle</b:SourceType>
    <b:Guid>{99380A57-D1DE-456C-9874-D6F46AE84858}</b:Guid>
    <b:Title>"Is there a “business case” for board diversity?"</b:Title>
    <b:JournalName>Pacific Accounting Review</b:JournalName>
    <b:Year>2009</b:Year>
    <b:Pages>Vol 21, 88-103</b:Pages>
    <b:Author>
      <b:Author>
        <b:NameList>
          <b:Person>
            <b:First>Wang</b:First>
          </b:Person>
          <b:Person>
            <b:First>Y</b:First>
          </b:Person>
          <b:Person>
            <b:Last>B</b:Last>
            <b:First>Clifton</b:First>
          </b:Person>
        </b:NameList>
      </b:Author>
    </b:Author>
    <b:RefOrder>159</b:RefOrder>
  </b:Source>
  <b:Source>
    <b:Tag>Kca08</b:Tag>
    <b:SourceType>JournalArticle</b:SourceType>
    <b:Guid>{C4250229-CC3D-413D-8859-1467CD92AA08}</b:Guid>
    <b:Title>Gender Diversity in the Boardroom and Firm Financial Performance</b:Title>
    <b:JournalName>Journal of business ethics</b:JournalName>
    <b:Year>2008</b:Year>
    <b:Pages>435-451</b:Pages>
    <b:Author>
      <b:Author>
        <b:NameList>
          <b:Person>
            <b:Last>A.M</b:Last>
            <b:First>Vera</b:First>
          </b:Person>
          <b:Person>
            <b:Last>Campbell</b:Last>
            <b:First>K</b:First>
          </b:Person>
        </b:NameList>
      </b:Author>
    </b:Author>
    <b:RefOrder>160</b:RefOrder>
  </b:Source>
  <b:Source>
    <b:Tag>Car03</b:Tag>
    <b:SourceType>JournalArticle</b:SourceType>
    <b:Guid>{0A06B6EE-8D9A-4B25-A436-DFDF5EFA543F}</b:Guid>
    <b:Title>"Corporate governance, board diversity, and firm value”,</b:Title>
    <b:JournalName>Financial Review,</b:JournalName>
    <b:Year>2003</b:Year>
    <b:Pages>Vol 38,33-53</b:Pages>
    <b:Author>
      <b:Author>
        <b:NameList>
          <b:Person>
            <b:Last>Carter</b:Last>
            <b:First>D.A</b:First>
          </b:Person>
          <b:Person>
            <b:Last>Simkins</b:Last>
            <b:First>B.J</b:First>
          </b:Person>
          <b:Person>
            <b:Last>Simpson</b:Last>
            <b:First>W.G</b:First>
          </b:Person>
        </b:NameList>
      </b:Author>
    </b:Author>
    <b:RefOrder>161</b:RefOrder>
  </b:Source>
  <b:Source>
    <b:Tag>Abo15</b:Tag>
    <b:SourceType>JournalArticle</b:SourceType>
    <b:Guid>{35967CC7-0ACE-48BB-BF88-A1B45D7A9EF8}</b:Guid>
    <b:Title>The Effect of Board Characteristics and Ownership Structure  on the Corporate Financial Leverage</b:Title>
    <b:JournalName>Accounting and Finance Research</b:JournalName>
    <b:Year>2015</b:Year>
    <b:Pages>Vol 5 no. 1</b:Pages>
    <b:Author>
      <b:Author>
        <b:NameList>
          <b:Person>
            <b:Last> Abobakr</b:Last>
            <b:First>Mohamed G</b:First>
          </b:Person>
          <b:Person>
            <b:Last>Elgiziry</b:Last>
            <b:First> Khairy </b:First>
          </b:Person>
        </b:NameList>
      </b:Author>
    </b:Author>
    <b:RefOrder>162</b:RefOrder>
  </b:Source>
  <b:Source>
    <b:Tag>PAl14</b:Tag>
    <b:SourceType>Misc</b:SourceType>
    <b:Guid>{7133FFFD-D8BE-44F5-94FF-A0D22FE7121A}</b:Guid>
    <b:Title>Board of directors’ composition and financing choices</b:Title>
    <b:Year>2014</b:Year>
    <b:Author>
      <b:Author>
        <b:NameList>
          <b:Person>
            <b:Last>P</b:Last>
            <b:First>Alves</b:First>
          </b:Person>
          <b:Person>
            <b:Last>Couto</b:Last>
            <b:First>A B</b:First>
          </b:Person>
          <b:Person>
            <b:Last>Francisco</b:Last>
            <b:First>P.M</b:First>
          </b:Person>
        </b:NameList>
      </b:Author>
    </b:Author>
    <b:RefOrder>163</b:RefOrder>
  </b:Source>
  <b:Source>
    <b:Tag>Ada16</b:Tag>
    <b:SourceType>Misc</b:SourceType>
    <b:Guid>{1D3C7CED-75CA-40F9-943F-6F9BD29D0AFD}</b:Guid>
    <b:Title>“Beyond the glass ceiling: Does gender matter?”</b:Title>
    <b:Year>2016</b:Year>
    <b:Author>
      <b:Author>
        <b:NameList>
          <b:Person>
            <b:Last>Adam</b:Last>
            <b:First>R</b:First>
          </b:Person>
          <b:Person>
            <b:Last>Funk</b:Last>
            <b:First>P.</b:First>
          </b:Person>
        </b:NameList>
      </b:Author>
    </b:Author>
    <b:City>Barcelona</b:City>
    <b:Publisher>http://www.econ.upf.edu/~funk</b:Publisher>
    <b:RefOrder>164</b:RefOrder>
  </b:Source>
  <b:Source>
    <b:Tag>Far05</b:Tag>
    <b:SourceType>JournalArticle</b:SourceType>
    <b:Guid>{6530113D-790B-4737-ABFC-7EA7A3CA655C}</b:Guid>
    <b:Title>Additions to corporate boards: The effect of gender</b:Title>
    <b:Year>2005</b:Year>
    <b:JournalName>Journal of Corporate Finance</b:JournalName>
    <b:Pages>85-106</b:Pages>
    <b:Author>
      <b:Author>
        <b:NameList>
          <b:Person>
            <b:First>Farrell</b:First>
          </b:Person>
          <b:Person>
            <b:First>K.A</b:First>
          </b:Person>
          <b:Person>
            <b:Last>P.L</b:Last>
            <b:First>Hersch</b:First>
          </b:Person>
        </b:NameList>
      </b:Author>
    </b:Author>
    <b:RefOrder>165</b:RefOrder>
  </b:Source>
  <b:Source>
    <b:Tag>Ber12</b:Tag>
    <b:SourceType>JournalArticle</b:SourceType>
    <b:Guid>{E0F34F7F-D29B-4F09-878D-893221FBC4E3}</b:Guid>
    <b:Title>Executive Board Composition and Bank Risk Taking</b:Title>
    <b:JournalName>Journal of Corporate finance</b:JournalName>
    <b:Year>2012</b:Year>
    <b:Author>
      <b:Author>
        <b:NameList>
          <b:Person>
            <b:Last>Berger </b:Last>
            <b:First>A.N</b:First>
          </b:Person>
          <b:Person>
            <b:Last>Kick</b:Last>
            <b:First>T</b:First>
          </b:Person>
          <b:Person>
            <b:Last>Schaeck </b:Last>
            <b:First>K</b:First>
          </b:Person>
        </b:NameList>
      </b:Author>
    </b:Author>
    <b:RefOrder>166</b:RefOrder>
  </b:Source>
  <b:Source>
    <b:Tag>Bow14</b:Tag>
    <b:SourceType>JournalArticle</b:SourceType>
    <b:Guid>{F192169F-D97A-4005-BE71-3851C2A5F7F7}</b:Guid>
    <b:Title>Does diversity of bank  board members affect performance and risk Evidence from emerging market</b:Title>
    <b:JournalName>acessed online</b:JournalName>
    <b:Year>2014</b:Year>
    <b:Author>
      <b:Author>
        <b:NameList>
          <b:Person>
            <b:Last>Bowo </b:Last>
            <b:First>Setiyono</b:First>
          </b:Person>
          <b:Person>
            <b:Last>Amine </b:Last>
            <b:First>Tarazi</b:First>
          </b:Person>
        </b:NameList>
      </b:Author>
    </b:Author>
    <b:RefOrder>167</b:RefOrder>
  </b:Source>
  <b:Source>
    <b:Tag>Wil</b:Tag>
    <b:SourceType>Misc</b:SourceType>
    <b:Guid>{7E9DEFDF-AA41-4BC2-94F2-7B2F6AE65AEC}</b:Guid>
    <b:Title>Director Characteristics, Gender Balance and Insolvency Risk</b:Title>
    <b:Author>
      <b:Author>
        <b:NameList>
          <b:Person>
            <b:Last>Wilson</b:Last>
            <b:First>Nick</b:First>
          </b:Person>
          <b:Person>
            <b:Last>Altanlar</b:Last>
            <b:First>Ali</b:First>
          </b:Person>
        </b:NameList>
      </b:Author>
    </b:Author>
    <b:Publisher>[online], http://ssrn.com/abstract=1414224</b:Publisher>
    <b:Year>2009</b:Year>
    <b:RefOrder>168</b:RefOrder>
  </b:Source>
  <b:Source>
    <b:Tag>Gul15</b:Tag>
    <b:SourceType>JournalArticle</b:SourceType>
    <b:Guid>{CB328DC2-192F-4C2D-AA06-16D2D016999B}</b:Guid>
    <b:Title>Female directors in bank boardrooms and their influence on performance and risk taking</b:Title>
    <b:Year>2015</b:Year>
    <b:JournalName>Global finance journal</b:JournalName>
    <b:Pages>28</b:Pages>
    <b:Author>
      <b:Author>
        <b:NameList>
          <b:Person>
            <b:Last>Gulamhussen </b:Last>
            <b:First>M.A</b:First>
          </b:Person>
          <b:Person>
            <b:Last>Santa</b:Last>
            <b:First>S.F</b:First>
          </b:Person>
        </b:NameList>
      </b:Author>
    </b:Author>
    <b:RefOrder>169</b:RefOrder>
  </b:Source>
  <b:Source>
    <b:Tag>Meh95</b:Tag>
    <b:SourceType>JournalArticle</b:SourceType>
    <b:Guid>{6EB19BFD-0B80-4C06-BC8F-50125F7E11F2}</b:Guid>
    <b:Title>Executive compensation structure, ownership, and firm performance</b:Title>
    <b:JournalName>Journal of Financial Economics</b:JournalName>
    <b:Year>1995</b:Year>
    <b:Pages>38, 163-184</b:Pages>
    <b:Author>
      <b:Author>
        <b:NameList>
          <b:Person>
            <b:Last>Mehran</b:Last>
            <b:First>H.</b:First>
          </b:Person>
        </b:NameList>
      </b:Author>
    </b:Author>
    <b:RefOrder>170</b:RefOrder>
  </b:Source>
  <b:Source>
    <b:Tag>Kle98</b:Tag>
    <b:SourceType>JournalArticle</b:SourceType>
    <b:Guid>{6FBAF6B7-BC14-4549-B4EF-BDF93BB72615}</b:Guid>
    <b:Title>Firm performance and board committee structure</b:Title>
    <b:JournalName>Journal of Law and Economics.</b:JournalName>
    <b:Year>1998</b:Year>
    <b:Pages>41: 275–303</b:Pages>
    <b:Author>
      <b:Author>
        <b:NameList>
          <b:Person>
            <b:Last>Klein</b:Last>
            <b:First>A</b:First>
          </b:Person>
        </b:NameList>
      </b:Author>
    </b:Author>
    <b:RefOrder>171</b:RefOrder>
  </b:Source>
  <b:Source>
    <b:Tag>Hau98</b:Tag>
    <b:SourceType>JournalArticle</b:SourceType>
    <b:Guid>{13F95002-02A7-441D-83C6-FDC42349E0BB}</b:Guid>
    <b:Title>Bank diversification: Laws and fallacies of large numbers</b:Title>
    <b:JournalName>Economic Review, Federal Reserve Bank of Cleveland</b:JournalName>
    <b:Year>1998</b:Year>
    <b:Pages>Q2: 2–9</b:Pages>
    <b:Author>
      <b:Author>
        <b:NameList>
          <b:Person>
            <b:Last>Haubrich </b:Last>
            <b:First>JG</b:First>
          </b:Person>
        </b:NameList>
      </b:Author>
    </b:Author>
    <b:RefOrder>172</b:RefOrder>
  </b:Source>
  <b:Source>
    <b:Tag>Col07</b:Tag>
    <b:SourceType>JournalArticle</b:SourceType>
    <b:Guid>{22A838C8-AA86-4869-A411-349B0D8954CE}</b:Guid>
    <b:Title>Structural models and endogeneity in corporate finance: The link between managerial ownership and corporate performance</b:Title>
    <b:JournalName>EFA  Glasgow</b:JournalName>
    <b:Year>2007</b:Year>
    <b:Author>
      <b:Author>
        <b:NameList>
          <b:Person>
            <b:Last>Coles</b:Last>
            <b:First>J</b:First>
          </b:Person>
          <b:Person>
            <b:Last>Lemmon</b:Last>
            <b:First>M</b:First>
          </b:Person>
          <b:Person>
            <b:Last>Meschke </b:Last>
            <b:First>F</b:First>
          </b:Person>
        </b:NameList>
      </b:Author>
    </b:Author>
    <b:RefOrder>173</b:RefOrder>
  </b:Source>
  <b:Source>
    <b:Tag>Wel03</b:Tag>
    <b:SourceType>JournalArticle</b:SourceType>
    <b:Guid>{884B0FE8-8FDD-4DC4-BA05-6464D8C01D68}</b:Guid>
    <b:Title>The relationship between ownership structure and performance in listed Australian companies</b:Title>
    <b:JournalName>Australian Journal of Management</b:JournalName>
    <b:Year>2003</b:Year>
    <b:Pages>28: 287–306</b:Pages>
    <b:Author>
      <b:Author>
        <b:NameList>
          <b:Person>
            <b:Last>Welch</b:Last>
            <b:First>E</b:First>
          </b:Person>
        </b:NameList>
      </b:Author>
    </b:Author>
    <b:RefOrder>174</b:RefOrder>
  </b:Source>
  <b:Source>
    <b:Tag>Han82</b:Tag>
    <b:SourceType>JournalArticle</b:SourceType>
    <b:Guid>{58676253-D632-4497-9E2F-F3618F43D141}</b:Guid>
    <b:Title>Large sample properties of the generalized methods of moments</b:Title>
    <b:JournalName>Econometrica</b:JournalName>
    <b:Year>1982</b:Year>
    <b:Pages>50: 1029–1054</b:Pages>
    <b:Author>
      <b:Author>
        <b:NameList>
          <b:Person>
            <b:Last>Hansen </b:Last>
            <b:First>L P</b:First>
          </b:Person>
        </b:NameList>
      </b:Author>
    </b:Author>
    <b:RefOrder>175</b:RefOrder>
  </b:Source>
  <b:Source>
    <b:Tag>Roo09</b:Tag>
    <b:SourceType>JournalArticle</b:SourceType>
    <b:Guid>{97C06D28-DA49-47DA-A320-219C2D269C00}</b:Guid>
    <b:Title>How to do Xtabond2: An introduction to ‘Difference’ and ‘System’ GMM in Stata</b:Title>
    <b:JournalName>Stata Journal </b:JournalName>
    <b:Year>2009</b:Year>
    <b:Pages>9: 86–136</b:Pages>
    <b:Author>
      <b:Author>
        <b:NameList>
          <b:Person>
            <b:Last>Roodman</b:Last>
            <b:First>DM</b:First>
          </b:Person>
        </b:NameList>
      </b:Author>
    </b:Author>
    <b:RefOrder>176</b:RefOrder>
  </b:Source>
  <b:Source>
    <b:Tag>Are95</b:Tag>
    <b:SourceType>JournalArticle</b:SourceType>
    <b:Guid>{A8ACCB97-C6B8-4EB3-A674-F5BED0924E7B}</b:Guid>
    <b:Title>Another look at the instrumental variable estimation of error component models</b:Title>
    <b:JournalName>Journal of Econometrics</b:JournalName>
    <b:Year>1995</b:Year>
    <b:Pages>68: 29–51</b:Pages>
    <b:Author>
      <b:Author>
        <b:NameList>
          <b:Person>
            <b:Last>Arellano </b:Last>
            <b:First>M</b:First>
          </b:Person>
          <b:Person>
            <b:Last>Bover </b:Last>
            <b:First>O</b:First>
          </b:Person>
        </b:NameList>
      </b:Author>
    </b:Author>
    <b:RefOrder>177</b:RefOrder>
  </b:Source>
  <b:Source>
    <b:Tag>Blu98</b:Tag>
    <b:SourceType>JournalArticle</b:SourceType>
    <b:Guid>{780F9275-B378-4EEF-B181-0B277488AD32}</b:Guid>
    <b:Title>Initial conditions and moment restrictions in dynamic panel data models</b:Title>
    <b:JournalName>Journal of Econometrics</b:JournalName>
    <b:Year>1998</b:Year>
    <b:Pages>87: 115–143</b:Pages>
    <b:Author>
      <b:Author>
        <b:NameList>
          <b:Person>
            <b:Last>Blundell </b:Last>
            <b:First>R</b:First>
          </b:Person>
          <b:Person>
            <b:Last>Bond</b:Last>
            <b:First>S</b:First>
          </b:Person>
        </b:NameList>
      </b:Author>
    </b:Author>
    <b:RefOrder>178</b:RefOrder>
  </b:Source>
  <b:Source>
    <b:Tag>Dur54</b:Tag>
    <b:SourceType>JournalArticle</b:SourceType>
    <b:Guid>{5CD99DD3-4C70-4ACF-BB28-1B1C70A1EAA9}</b:Guid>
    <b:Title>Errors in variables</b:Title>
    <b:JournalName>Review of the International Statistical Institute</b:JournalName>
    <b:Year>1954</b:Year>
    <b:Pages>22: 23–32.</b:Pages>
    <b:Author>
      <b:Author>
        <b:NameList>
          <b:Person>
            <b:Last>Durbin</b:Last>
            <b:First>J</b:First>
          </b:Person>
        </b:NameList>
      </b:Author>
    </b:Author>
    <b:RefOrder>179</b:RefOrder>
  </b:Source>
  <b:Source>
    <b:Tag>Hau78</b:Tag>
    <b:SourceType>JournalArticle</b:SourceType>
    <b:Guid>{C00D5C63-BF2D-41DD-A5EE-EE94A50D0E3E}</b:Guid>
    <b:Title>Specification tests in econometrics</b:Title>
    <b:JournalName>Econometrical</b:JournalName>
    <b:Year>1978</b:Year>
    <b:Pages>46: 1251–1271</b:Pages>
    <b:Author>
      <b:Author>
        <b:NameList>
          <b:Person>
            <b:Last>Hausman </b:Last>
            <b:First>JA</b:First>
          </b:Person>
        </b:NameList>
      </b:Author>
    </b:Author>
    <b:RefOrder>180</b:RefOrder>
  </b:Source>
  <b:Source>
    <b:Tag>WuD73</b:Tag>
    <b:SourceType>JournalArticle</b:SourceType>
    <b:Guid>{C29F8BF1-1053-4AE7-B75D-9A9C3272C55F}</b:Guid>
    <b:Title>Alternative tests of independence between stochastic regressors and disturbances</b:Title>
    <b:JournalName>Econometrica</b:JournalName>
    <b:Year>1973</b:Year>
    <b:Pages>41: 733–750</b:Pages>
    <b:Author>
      <b:Author>
        <b:NameList>
          <b:Person>
            <b:Last>Wu</b:Last>
            <b:First>D</b:First>
          </b:Person>
        </b:NameList>
      </b:Author>
    </b:Author>
    <b:RefOrder>181</b:RefOrder>
  </b:Source>
  <b:Source>
    <b:Tag>Placeholder9</b:Tag>
    <b:SourceType>JournalArticle</b:SourceType>
    <b:Guid>{1F291FA6-E1D4-49CE-9716-9399C0B334BC}</b:Guid>
    <b:Title>The impact of foreign Investors on the risk taking of Japanese Firms</b:Title>
    <b:JournalName>Journal of the Japanese and International Economies</b:JournalName>
    <b:Year>2012</b:Year>
    <b:Pages>233-248</b:Pages>
    <b:Author>
      <b:Author>
        <b:NameList>
          <b:Person>
            <b:Last>Nguyen</b:Last>
            <b:First>P.</b:First>
          </b:Person>
        </b:NameList>
      </b:Author>
    </b:Author>
    <b:RefOrder>182</b:RefOrder>
  </b:Source>
  <b:Source>
    <b:Tag>Abo17</b:Tag>
    <b:SourceType>JournalArticle</b:SourceType>
    <b:Guid>{18C20C76-A5BF-492F-9B6C-B77E3FC1A336}</b:Guid>
    <b:Title>The Relationship Between Board of Directors’</b:Title>
    <b:JournalName>Journal of Finance and Accounting</b:JournalName>
    <b:Year>2017</b:Year>
    <b:Pages>5(1): 24-33</b:Pages>
    <b:Author>
      <b:Author>
        <b:NameList>
          <b:Person>
            <b:Last>Abobakr</b:Last>
            <b:First>Mohamed Galal </b:First>
          </b:Person>
          <b:Person>
            <b:Last>Elgiziry</b:Last>
            <b:First>Khairy </b:First>
          </b:Person>
        </b:NameList>
      </b:Author>
    </b:Author>
    <b:RefOrder>183</b:RefOrder>
  </b:Source>
  <b:Source>
    <b:Tag>Afz12</b:Tag>
    <b:SourceType>JournalArticle</b:SourceType>
    <b:Guid>{391A68E5-8DCD-4C12-A14E-E4225DD1CAC7}</b:Guid>
    <b:Title>Role of corporate governance in operating performance enhancement of mergers and acquisitions in Pakistan </b:Title>
    <b:Year>2012</b:Year>
    <b:JournalName>Elixir Finance</b:JournalName>
    <b:Pages>42,6447-6456</b:Pages>
    <b:Author>
      <b:Author>
        <b:NameList>
          <b:Person>
            <b:Last>Afza</b:Last>
            <b:First>Talat</b:First>
          </b:Person>
          <b:Person>
            <b:Last>Nazir</b:Last>
            <b:First>Mian Sajid</b:First>
          </b:Person>
        </b:NameList>
      </b:Author>
    </b:Author>
    <b:RefOrder>184</b:RefOrder>
  </b:Source>
  <b:Source>
    <b:Tag>Hub94</b:Tag>
    <b:SourceType>JournalArticle</b:SourceType>
    <b:Guid>{C573617C-6783-4EEC-B630-DDA6AD06CD53}</b:Guid>
    <b:Title>EXECUTIVE PAY AND PERFORMANCE: EVIDENCE FROM THE U.S. BANKING INDUSTRY</b:Title>
    <b:JournalName>NBER WORKING PAPER SERIES</b:JournalName>
    <b:Year>1994</b:Year>
    <b:Pages>4704</b:Pages>
    <b:Author>
      <b:Author>
        <b:NameList>
          <b:Person>
            <b:Last>Hubbard </b:Last>
            <b:First>R. Glenn </b:First>
          </b:Person>
          <b:Person>
            <b:Last>Palia</b:Last>
            <b:First>Darius </b:First>
          </b:Person>
        </b:NameList>
      </b:Author>
    </b:Author>
    <b:RefOrder>185</b:RefOrder>
  </b:Source>
  <b:Source>
    <b:Tag>Ism08</b:Tag>
    <b:SourceType>JournalArticle</b:SourceType>
    <b:Guid>{BB6B693D-1D7E-4A33-8F05-895AA246218A}</b:Guid>
    <b:Title>Board of Directors' Governance Challenges and Earnings Management</b:Title>
    <b:JournalName>Journal of Accounting and organizational Change</b:JournalName>
    <b:Year>2008</b:Year>
    <b:Pages>vol-5</b:Pages>
    <b:Author>
      <b:Author>
        <b:NameList>
          <b:Person>
            <b:Last>Ismail</b:Last>
            <b:First>Tariq</b:First>
          </b:Person>
          <b:Person>
            <b:Last>Epps</b:Last>
            <b:First>Ruth W</b:First>
          </b:Person>
        </b:NameList>
      </b:Author>
    </b:Author>
    <b:RefOrder>186</b:RefOrder>
  </b:Source>
  <b:Source>
    <b:Tag>Goe12</b:Tag>
    <b:SourceType>JournalArticle</b:SourceType>
    <b:Guid>{5B3375B6-12C3-4064-A25F-DBC3C657634F}</b:Guid>
    <b:Title>International Corporate Governance</b:Title>
    <b:JournalName>pearson</b:JournalName>
    <b:Year>2014</b:Year>
    <b:Author>
      <b:Author>
        <b:NameList>
          <b:Person>
            <b:Last>Goergen</b:Last>
            <b:First>Marc</b:First>
          </b:Person>
        </b:NameList>
      </b:Author>
    </b:Author>
    <b:RefOrder>187</b:RefOrder>
  </b:Source>
  <b:Source>
    <b:Tag>Mar10</b:Tag>
    <b:SourceType>JournalArticle</b:SourceType>
    <b:Guid>{A303CE6E-715C-4BD9-A602-6AB69D3A3E14}</b:Guid>
    <b:Title>Financial Flexibility, Investment Ability and Firm Value: Evidence from Firms with Spare Debt Capacity</b:Title>
    <b:JournalName>Journal of Financial Management,</b:JournalName>
    <b:Year>2010</b:Year>
    <b:Pages>1339-1365. </b:Pages>
    <b:Author>
      <b:Author>
        <b:NameList>
          <b:Person>
            <b:Last>Marchicha</b:Last>
            <b:First>M.</b:First>
          </b:Person>
          <b:Person>
            <b:Last>Mura</b:Last>
            <b:First>R.</b:First>
          </b:Person>
        </b:NameList>
      </b:Author>
    </b:Author>
    <b:RefOrder>188</b:RefOrder>
  </b:Source>
  <b:Source>
    <b:Tag>Bou13</b:Tag>
    <b:SourceType>JournalArticle</b:SourceType>
    <b:Guid>{F5CA4929-B7F0-4759-9EE9-D3335003FDE4}</b:Guid>
    <b:Title>The role of state and foreign owners in corporate risk taking:evidence from privatization</b:Title>
    <b:JournalName>Journal of financial Economics</b:JournalName>
    <b:Year>2013</b:Year>
    <b:Pages>641-658</b:Pages>
    <b:Author>
      <b:Author>
        <b:NameList>
          <b:Person>
            <b:Last>Boubakri</b:Last>
            <b:First>Narjees</b:First>
          </b:Person>
          <b:Person>
            <b:Last>Claude Cosset</b:Last>
            <b:First>Jean</b:First>
          </b:Person>
          <b:Person>
            <b:Last>Saffar</b:Last>
            <b:First>Walid</b:First>
          </b:Person>
        </b:NameList>
      </b:Author>
    </b:Author>
    <b:RefOrder>189</b:RefOrder>
  </b:Source>
  <b:Source>
    <b:Tag>Afz121</b:Tag>
    <b:SourceType>JournalArticle</b:SourceType>
    <b:Guid>{62FA3461-DF25-43E0-804F-F3B0C7C80B54}</b:Guid>
    <b:Title>Role of Institutional Shareholders’ Activism in Enhancing Firm Performance: The Case of Pakistan </b:Title>
    <b:JournalName>Global Business review</b:JournalName>
    <b:Year>2012</b:Year>
    <b:Pages>557-570</b:Pages>
    <b:Author>
      <b:Author>
        <b:NameList>
          <b:Person>
            <b:Last>Afzal</b:Last>
            <b:First>Talat</b:First>
          </b:Person>
          <b:Person>
            <b:Last>Nazir</b:Last>
            <b:First>Sajid</b:First>
          </b:Person>
        </b:NameList>
      </b:Author>
    </b:Author>
    <b:RefOrder>190</b:RefOrder>
  </b:Source>
  <b:Source>
    <b:Tag>Oli12</b:Tag>
    <b:SourceType>JournalArticle</b:SourceType>
    <b:Guid>{9A86AB26-9B32-43EF-A10C-98BE734D4725}</b:Guid>
    <b:Title> The determinants of sovereign credit spread changes in the Eurozone</b:Title>
    <b:JournalName> Journal of International Financial Markets, Institutions and Money</b:JournalName>
    <b:Year>2012</b:Year>
    <b:Pages>278-304</b:Pages>
    <b:Author>
      <b:Author>
        <b:NameList>
          <b:Person>
            <b:Last>Oliveria</b:Last>
            <b:First>L.</b:First>
          </b:Person>
          <b:Person>
            <b:Last>Curto</b:Last>
            <b:First>J.D</b:First>
          </b:Person>
          <b:Person>
            <b:Last>Nunes</b:Last>
            <b:First>J.P.</b:First>
          </b:Person>
        </b:NameList>
      </b:Author>
    </b:Author>
    <b:RefOrder>191</b:RefOrder>
  </b:Source>
  <b:Source>
    <b:Tag>Sin06</b:Tag>
    <b:SourceType>JournalArticle</b:SourceType>
    <b:Guid>{BEEF27A9-A92E-4F53-BD50-4A3B8468CAD4}</b:Guid>
    <b:Title> Corporate governance and shareholder value analysis. </b:Title>
    <b:JournalName>Global Business Review</b:JournalName>
    <b:Year>2006</b:Year>
    <b:Pages> 7(1), 1–16</b:Pages>
    <b:Author>
      <b:Author>
        <b:NameList>
          <b:Person>
            <b:Last>Sinha</b:Last>
            <b:First>R.</b:First>
          </b:Person>
        </b:NameList>
      </b:Author>
    </b:Author>
    <b:RefOrder>192</b:RefOrder>
  </b:Source>
  <b:Source>
    <b:Tag>Naz18</b:Tag>
    <b:SourceType>JournalArticle</b:SourceType>
    <b:Guid>{AF8A4CCE-0CA8-49F2-A429-24098312B7A8}</b:Guid>
    <b:Title>Role of Institutional owners in devising firms risk taking Behaviour: Evidence from a developing country</b:Title>
    <b:JournalName>International Journal of Applied Behavioral Economics</b:JournalName>
    <b:Year>2018</b:Year>
    <b:Pages>vol (7) 21-36</b:Pages>
    <b:Author>
      <b:Author>
        <b:NameList>
          <b:Person>
            <b:Last>Nazir</b:Last>
            <b:First>Mian Sajid</b:First>
          </b:Person>
          <b:Person>
            <b:Last>Sadaf</b:Last>
            <b:First>Nazir</b:First>
          </b:Person>
          <b:Person>
            <b:Last>Javed</b:Last>
            <b:First>Aisha</b:First>
          </b:Person>
        </b:NameList>
      </b:Author>
    </b:Author>
    <b:RefOrder>193</b:RefOrder>
  </b:Source>
  <b:Source>
    <b:Tag>Dem83</b:Tag>
    <b:SourceType>JournalArticle</b:SourceType>
    <b:Guid>{310A36DE-0303-4052-B444-B0286856B0C1}</b:Guid>
    <b:Author>
      <b:Author>
        <b:NameList>
          <b:Person>
            <b:Last>Demsetz</b:Last>
            <b:First>H.</b:First>
          </b:Person>
        </b:NameList>
      </b:Author>
    </b:Author>
    <b:Title>The Structure of Ownership and the Theory of the Firm</b:Title>
    <b:JournalName>Journal of Law and Economics</b:JournalName>
    <b:Year>1983</b:Year>
    <b:Pages>375-390</b:Pages>
    <b:RefOrder>194</b:RefOrder>
  </b:Source>
  <b:Source>
    <b:Tag>Pou88</b:Tag>
    <b:SourceType>JournalArticle</b:SourceType>
    <b:Guid>{4685310E-0997-4E51-9D92-6CD348DA9F2F}</b:Guid>
    <b:Author>
      <b:Author>
        <b:NameList>
          <b:Person>
            <b:Last>Pound</b:Last>
            <b:First>John</b:First>
          </b:Person>
        </b:NameList>
      </b:Author>
    </b:Author>
    <b:Title>Proxy Contests and the Effeciency of Shareholder oversight</b:Title>
    <b:JournalName>Journal of Financial Economics</b:JournalName>
    <b:Year>1988</b:Year>
    <b:Pages>237-265</b:Pages>
    <b:RefOrder>195</b:RefOrder>
  </b:Source>
  <b:Source>
    <b:Tag>Kno96</b:Tag>
    <b:SourceType>JournalArticle</b:SourceType>
    <b:Guid>{9F0A4E8C-E2C3-42A9-8BDB-E11F12266F26}</b:Guid>
    <b:Author>
      <b:Author>
        <b:NameList>
          <b:Person>
            <b:Last>Knopf</b:Last>
            <b:First>John</b:First>
            <b:Middle>D.</b:Middle>
          </b:Person>
          <b:Person>
            <b:Last>Teall</b:Last>
            <b:First>John</b:First>
            <b:Middle>L.</b:Middle>
          </b:Person>
        </b:NameList>
      </b:Author>
    </b:Author>
    <b:Title>Risk Taking Behavior in the U.S Thrift Industry:Ownersip Structre and Regulatroy Changes</b:Title>
    <b:JournalName>Journal of Banking and Finance</b:JournalName>
    <b:Year>1996</b:Year>
    <b:Pages>1329-1350</b:Pages>
    <b:Month>November</b:Month>
    <b:City>Newyork</b:City>
    <b:CountryRegion>America</b:CountryRegion>
    <b:RefOrder>196</b:RefOrder>
  </b:Source>
  <b:Source>
    <b:Tag>Jon97</b:Tag>
    <b:SourceType>JournalArticle</b:SourceType>
    <b:Guid>{226A51A2-A37B-4CEE-8B05-87410F570893}</b:Guid>
    <b:Author>
      <b:Author>
        <b:NameList>
          <b:Person>
            <b:Last>Jones</b:Last>
            <b:First>Steven</b:First>
            <b:Middle>L.</b:Middle>
          </b:Person>
          <b:Person>
            <b:Last>Lee</b:Last>
            <b:First>Darrell</b:First>
          </b:Person>
          <b:Person>
            <b:Last>Tompkins</b:Last>
            <b:First>James</b:First>
            <b:Middle>G.</b:Middle>
          </b:Person>
        </b:NameList>
      </b:Author>
    </b:Author>
    <b:Title>Corporate Value and Ownership Structure in the Post-Takeover Period: What Role Do Institutional Investors Play?</b:Title>
    <b:JournalName>Managerial and Decision Economics</b:JournalName>
    <b:Year>1997</b:Year>
    <b:Pages>627-643</b:Pages>
    <b:RefOrder>197</b:RefOrder>
  </b:Source>
  <b:Source>
    <b:Tag>Placeholder10</b:Tag>
    <b:SourceType>JournalArticle</b:SourceType>
    <b:Guid>{B2F4DE5B-3E69-4ADA-933F-69C1F557A377}</b:Guid>
    <b:Author>
      <b:Author>
        <b:NameList>
          <b:Person>
            <b:Last>Cheng</b:Last>
            <b:First>J.</b:First>
          </b:Person>
          <b:Person>
            <b:Last>Elyasiani</b:Last>
            <b:First>Elyas</b:First>
          </b:Person>
          <b:Person>
            <b:Last>Jia</b:Last>
            <b:First>J.</b:First>
            <b:Middle>J.</b:Middle>
          </b:Person>
        </b:NameList>
      </b:Author>
    </b:Author>
    <b:Title>Institutional Ownership Stability and Risk Taking</b:Title>
    <b:JournalName>Journal of Risk and Insurance</b:JournalName>
    <b:Year>2011</b:Year>
    <b:Pages>Early View</b:Pages>
    <b:RefOrder>198</b:RefOrder>
  </b:Source>
  <b:Source>
    <b:Tag>Ins</b:Tag>
    <b:SourceType>JournalArticle</b:SourceType>
    <b:Guid>{D3D4FE79-895A-4AD0-B984-F5ED46A4EE97}</b:Guid>
    <b:Title>Institutional Ownership, Diversification, and Risk-taking in BHCs. Working Paper</b:Title>
    <b:Author>
      <b:Author>
        <b:NameList>
          <b:Person>
            <b:Last>Deng</b:Last>
            <b:First>Saiying</b:First>
            <b:Middle>Esther</b:Middle>
          </b:Person>
          <b:Person>
            <b:Last>Jia</b:Last>
            <b:First>Jingyi</b:First>
            <b:Middle>Jane</b:Middle>
          </b:Person>
          <b:Person>
            <b:Last>Elyasiani</b:Last>
            <b:First>Elyas</b:First>
          </b:Person>
        </b:NameList>
      </b:Author>
    </b:Author>
    <b:RefOrder>199</b:RefOrder>
  </b:Source>
  <b:Source>
    <b:Tag>Shl97</b:Tag>
    <b:SourceType>JournalArticle</b:SourceType>
    <b:Guid>{19744608-FFCC-48BF-B73E-5F047C6139E9}</b:Guid>
    <b:Author>
      <b:Author>
        <b:NameList>
          <b:Person>
            <b:Last>Vishny</b:Last>
            <b:First>Robert</b:First>
            <b:Middle>W.</b:Middle>
          </b:Person>
          <b:Person>
            <b:Last>Shleifer</b:Last>
            <b:First>Andrei</b:First>
          </b:Person>
        </b:NameList>
      </b:Author>
    </b:Author>
    <b:Title>A Survey of Corporate Governance</b:Title>
    <b:Year>1997</b:Year>
    <b:JournalName>The Journal of Finance</b:JournalName>
    <b:Pages>737-783</b:Pages>
    <b:RefOrder>200</b:RefOrder>
  </b:Source>
  <b:Source>
    <b:Tag>Nes94</b:Tag>
    <b:SourceType>JournalArticle</b:SourceType>
    <b:Guid>{631CAB3E-3718-401A-8074-EBA7819FF085}</b:Guid>
    <b:Title>LONG‐TERM REWARDS FROM SHAREHOLDER ACTIVISM: A STUDY OF THE “CalPERS EFFECT”</b:Title>
    <b:JournalName>Journal of Applied  Corporate Finance</b:JournalName>
    <b:Year>1994</b:Year>
    <b:Pages>vol(6) 75-80</b:Pages>
    <b:Author>
      <b:Author>
        <b:NameList>
          <b:Person>
            <b:Last>Nesbitt</b:Last>
            <b:First>Stephen L.</b:First>
          </b:Person>
        </b:NameList>
      </b:Author>
    </b:Author>
    <b:RefOrder>201</b:RefOrder>
  </b:Source>
  <b:Source>
    <b:Tag>Smi96</b:Tag>
    <b:SourceType>JournalArticle</b:SourceType>
    <b:Guid>{90FB1BF4-9691-4745-BB03-CEDA0E3F6B69}</b:Guid>
    <b:Title>Shareholder activism by institutional investors: Evidence from Caipres</b:Title>
    <b:JournalName>Journal of Finance</b:JournalName>
    <b:Year>1996</b:Year>
    <b:Pages>51: 227-252</b:Pages>
    <b:Author>
      <b:Author>
        <b:NameList>
          <b:Person>
            <b:Last>Smith</b:Last>
            <b:First>M.P.</b:First>
          </b:Person>
        </b:NameList>
      </b:Author>
    </b:Author>
    <b:RefOrder>202</b:RefOrder>
  </b:Source>
  <b:Source>
    <b:Tag>Del99</b:Tag>
    <b:SourceType>JournalArticle</b:SourceType>
    <b:Guid>{0B573B9B-3FD6-4F1F-BA82-05503962BBE8}</b:Guid>
    <b:Title>The motivation and impact of pension fund activism</b:Title>
    <b:JournalName>Journal of Financial Economics</b:JournalName>
    <b:Year>1999</b:Year>
    <b:Pages>vol(52) 293-340</b:Pages>
    <b:Author>
      <b:Author>
        <b:NameList>
          <b:Person>
            <b:Last>Del Guercio</b:Last>
            <b:First>Diane</b:First>
          </b:Person>
          <b:Person>
            <b:Last>Hawkins</b:Last>
            <b:First>Jennifer</b:First>
          </b:Person>
        </b:NameList>
      </b:Author>
    </b:Author>
    <b:RefOrder>203</b:RefOrder>
  </b:Source>
  <b:Source>
    <b:Tag>Mau02</b:Tag>
    <b:SourceType>JournalArticle</b:SourceType>
    <b:Guid>{0F4EB9F9-2E1F-4594-90B1-38D0BBB28774}</b:Guid>
    <b:Title>Large Shareholders as Monitors: Is There a Trade‐Off between Liquidity and Control?</b:Title>
    <b:JournalName>The journal of finance</b:JournalName>
    <b:Year>2002</b:Year>
    <b:Pages>vol (53) 65-98</b:Pages>
    <b:Author>
      <b:Author>
        <b:NameList>
          <b:Person>
            <b:Last>Maug</b:Last>
            <b:First>Ernst</b:First>
          </b:Person>
        </b:NameList>
      </b:Author>
    </b:Author>
    <b:RefOrder>204</b:RefOrder>
  </b:Source>
  <b:Source>
    <b:Tag>Cra97</b:Tag>
    <b:SourceType>JournalArticle</b:SourceType>
    <b:Guid>{652CB17A-8FD2-4EB9-A4B3-E78259511EDF}</b:Guid>
    <b:Title>Ownership structure and corporate performance: Australian evidence</b:Title>
    <b:JournalName>Pasific-Basin Finance Journal</b:JournalName>
    <b:Year>1997</b:Year>
    <b:Pages>volume (5)3, 301-323</b:Pages>
    <b:Author>
      <b:Author>
        <b:NameList>
          <b:Person>
            <b:Last>Craswell</b:Last>
            <b:First>Allen T.</b:First>
          </b:Person>
          <b:Person>
            <b:Last>Taylor</b:Last>
            <b:First>Stephen L.</b:First>
          </b:Person>
          <b:Person>
            <b:Last>Saywell</b:Last>
            <b:First>Richard A.</b:First>
          </b:Person>
        </b:NameList>
      </b:Author>
    </b:Author>
    <b:RefOrder>205</b:RefOrder>
  </b:Source>
  <b:Source>
    <b:Tag>Han98</b:Tag>
    <b:SourceType>JournalArticle</b:SourceType>
    <b:Guid>{924A57AB-DEF6-4035-A341-D9120617F88D}</b:Guid>
    <b:Title>The effect of ownership structure on firm performance: Additional evidence</b:Title>
    <b:JournalName>Review of Financial Economics</b:JournalName>
    <b:Year>1998</b:Year>
    <b:Pages>vol(7)2, 143-155</b:Pages>
    <b:Author>
      <b:Author>
        <b:NameList>
          <b:Person>
            <b:Last>Han</b:Last>
            <b:First>Ki C.</b:First>
          </b:Person>
          <b:Person>
            <b:Last>Suk</b:Last>
            <b:First>David Y.</b:First>
          </b:Person>
        </b:NameList>
      </b:Author>
    </b:Author>
    <b:RefOrder>206</b:RefOrder>
  </b:Source>
  <b:Source>
    <b:Tag>Afz09</b:Tag>
    <b:SourceType>JournalArticle</b:SourceType>
    <b:Guid>{D1A33FB0-F09E-4802-9D60-96AD6779EA70}</b:Guid>
    <b:Title>Management Ownership and Firm Performance: Evidence from an Emerging Economy</b:Title>
    <b:JournalName>corporate ownership and control</b:JournalName>
    <b:Year>2009</b:Year>
    <b:Pages>vol (6)4, 88-95</b:Pages>
    <b:Author>
      <b:Author>
        <b:NameList>
          <b:Person>
            <b:Last>Afza</b:Last>
            <b:First>Talat</b:First>
          </b:Person>
          <b:Person>
            <b:First>Salahudin</b:First>
          </b:Person>
        </b:NameList>
      </b:Author>
    </b:Author>
    <b:RefOrder>207</b:RefOrder>
  </b:Source>
  <b:Source>
    <b:Tag>Nav06</b:Tag>
    <b:SourceType>JournalArticle</b:SourceType>
    <b:Guid>{2B30F8FC-73B3-4E3A-9895-E765DB941E95}</b:Guid>
    <b:Title>Institutional ownership and corporate value</b:Title>
    <b:JournalName>Managerial Finance</b:JournalName>
    <b:Year>2006</b:Year>
    <b:Pages>Vol 32(3), 247-256</b:Pages>
    <b:Author>
      <b:Author>
        <b:NameList>
          <b:Person>
            <b:Last>Navissi</b:Last>
            <b:First>Farshid</b:First>
          </b:Person>
          <b:Person>
            <b:Last>Naiker</b:Last>
            <b:First>Vic</b:First>
          </b:Person>
        </b:NameList>
      </b:Author>
    </b:Author>
    <b:RefOrder>208</b:RefOrder>
  </b:Source>
  <b:Source>
    <b:Tag>Mir04</b:Tag>
    <b:SourceType>ConferenceProceedings</b:SourceType>
    <b:Guid>{E47EABA2-7C1A-4A0A-9B34-EB4AD9AAA708}</b:Guid>
    <b:Title>Corporate Governance Structure and Firm Performance in Pakistan: An Empirical Study</b:Title>
    <b:Year>2004</b:Year>
    <b:Author>
      <b:Author>
        <b:NameList>
          <b:Person>
            <b:Last>Mir</b:Last>
            <b:First>Shahid</b:First>
          </b:Person>
          <b:Person>
            <b:Last>Nishat</b:Last>
            <b:First>Mohammad</b:First>
          </b:Person>
        </b:NameList>
      </b:Author>
    </b:Author>
    <b:ConferenceName>Paper presented at Second Annual Conference in Corporate Governance. Lahore University of Management Sciences, Lahore</b:ConferenceName>
    <b:City>Lahore</b:City>
    <b:RefOrder>209</b:RefOrder>
  </b:Source>
  <b:Source>
    <b:Tag>Own</b:Tag>
    <b:SourceType>Report</b:SourceType>
    <b:Guid>{BD68E2A8-0ECB-4F74-B247-7208AEB54C6E}</b:Guid>
    <b:Title>Ownership Concentration, Corporate Governance and Firm Performance: Evidence from Pakistan</b:Title>
    <b:Publisher>Pakistan Institute of Development Economics</b:Publisher>
    <b:Author>
      <b:Author>
        <b:NameList>
          <b:Person>
            <b:Last>Javid</b:Last>
            <b:First>Attiya</b:First>
            <b:Middle>Y.</b:Middle>
          </b:Person>
          <b:Person>
            <b:Last>Iqbal</b:Last>
            <b:First>Robina</b:First>
          </b:Person>
        </b:NameList>
      </b:Author>
    </b:Author>
    <b:Year>2010</b:Year>
    <b:City>Islamabad</b:City>
    <b:RefOrder>210</b:RefOrder>
  </b:Source>
  <b:Source>
    <b:Tag>Naz09</b:Tag>
    <b:SourceType>JournalArticle</b:SourceType>
    <b:Guid>{F2FCC9B5-D842-4F64-B9B6-A52ADAD5DF03}</b:Guid>
    <b:Title>CAN BOARD MECHANISM AFFECT THE FIRM VALUE IN PAKISTAN? </b:Title>
    <b:Pages>Volume (6)3, 308-317</b:Pages>
    <b:Year>2009</b:Year>
    <b:Author>
      <b:Author>
        <b:NameList>
          <b:Person>
            <b:Last>Nazir</b:Last>
            <b:First>Mian Sajid</b:First>
          </b:Person>
          <b:Person>
            <b:Last>Ali</b:Last>
            <b:First>Shafaqat</b:First>
          </b:Person>
          <b:Person>
            <b:Last>Haque</b:Last>
            <b:First>Abdul</b:First>
          </b:Person>
        </b:NameList>
      </b:Author>
    </b:Author>
    <b:JournalName>Corporate ownership and control</b:JournalName>
    <b:RefOrder>211</b:RefOrder>
  </b:Source>
  <b:Source>
    <b:Tag>Baj09</b:Tag>
    <b:SourceType>Misc</b:SourceType>
    <b:Guid>{5050387F-78CB-4E0E-9AAB-C85C27328A0D}</b:Guid>
    <b:Title>The impact of ownership and board composition on financial performance of the firm-emperical evidence from pakistan</b:Title>
    <b:Year>2009</b:Year>
    <b:Author>
      <b:Author>
        <b:NameList>
          <b:Person>
            <b:Last>Bajwa</b:Last>
            <b:First>A</b:First>
          </b:Person>
          <b:Person>
            <b:Last>Bashir</b:Last>
            <b:First>A</b:First>
          </b:Person>
        </b:NameList>
      </b:Author>
    </b:Author>
    <b:PublicationTitle> Unpublished Master Thesis, Umeå University, Sweden</b:PublicationTitle>
    <b:RefOrder>212</b:RefOrder>
  </b:Source>
  <b:Source>
    <b:Tag>Yas11</b:Tag>
    <b:SourceType>JournalArticle</b:SourceType>
    <b:Guid>{AA518C3D-E8AC-4609-92F0-78BA9C022958}</b:Guid>
    <b:Title> Corporate governance and performance (a case study for Pakistani communication sector). </b:Title>
    <b:Year>2011</b:Year>
    <b:JournalName>International Journal of Trade, Economics and Finance</b:JournalName>
    <b:Pages> 2(3), 204–211</b:Pages>
    <b:Author>
      <b:Author>
        <b:NameList>
          <b:Person>
            <b:Last>Yasser</b:Last>
            <b:First>Q.R</b:First>
          </b:Person>
        </b:NameList>
      </b:Author>
    </b:Author>
    <b:RefOrder>213</b:RefOrder>
  </b:Source>
  <b:Source>
    <b:Tag>Ceb99</b:Tag>
    <b:SourceType>JournalArticle</b:SourceType>
    <b:Guid>{C2516E9D-A2E6-4E18-A62B-144D2E8C2A38}</b:Guid>
    <b:Author>
      <b:Author>
        <b:NameList>
          <b:Person>
            <b:Last>Cebenoyan</b:Last>
            <b:First>Sinan</b:First>
            <b:Middle>A.</b:Middle>
          </b:Person>
          <b:Person>
            <b:Last>Cooperman</b:Last>
            <b:First>Elizabeth</b:First>
            <b:Middle>S.</b:Middle>
          </b:Person>
          <b:Person>
            <b:Last>Register</b:Last>
            <b:First>Charles</b:First>
            <b:Middle>A.</b:Middle>
          </b:Person>
        </b:NameList>
      </b:Author>
    </b:Author>
    <b:Title>Ownership Structure, Charter Value, and Risk-Taking Behavior for Thrifts</b:Title>
    <b:JournalName>Financial Management</b:JournalName>
    <b:Year>1999</b:Year>
    <b:Pages>43-60</b:Pages>
    <b:RefOrder>214</b:RefOrder>
  </b:Source>
  <b:Source>
    <b:Tag>Ceb95</b:Tag>
    <b:SourceType>JournalArticle</b:SourceType>
    <b:Guid>{B13BD6C8-2E57-4F3A-AED9-1BAFA963D797}</b:Guid>
    <b:Author>
      <b:Author>
        <b:NameList>
          <b:Person>
            <b:Last>Cebenoyan</b:Last>
            <b:First>Sinan</b:First>
            <b:Middle>A.</b:Middle>
          </b:Person>
          <b:Person>
            <b:Last>Cooperman</b:Last>
            <b:First>Elizabeth</b:First>
            <b:Middle>S.</b:Middle>
          </b:Person>
          <b:Person>
            <b:Last>Register</b:Last>
            <b:First>Charles</b:First>
            <b:Middle>A.</b:Middle>
          </b:Person>
        </b:NameList>
      </b:Author>
    </b:Author>
    <b:Title>Deregulation, Reregulation, Equity Ownership, and S&amp;L Risk-Taking</b:Title>
    <b:JournalName>Financial Management</b:JournalName>
    <b:Year>1995</b:Year>
    <b:Pages>63-76</b:Pages>
    <b:RefOrder>215</b:RefOrder>
  </b:Source>
  <b:Source>
    <b:Tag>Equ</b:Tag>
    <b:SourceType>JournalArticle</b:SourceType>
    <b:Guid>{CA9A6C39-EDC5-49BC-8692-87CD768B4A88}</b:Guid>
    <b:Title>Equity Ownership Structure, Risk-Taking and Performance: An Empirical Investigation in Turkish Companies</b:Title>
    <b:Author>
      <b:Author>
        <b:NameList>
          <b:Person>
            <b:Last>Gursoy</b:Last>
            <b:First>Guner</b:First>
          </b:Person>
          <b:Person>
            <b:Last>Aydogan</b:Last>
            <b:First>Kursat</b:First>
          </b:Person>
        </b:NameList>
      </b:Author>
    </b:Author>
    <b:JournalName>Emerging Markets Finance and Trade</b:JournalName>
    <b:Year>2002</b:Year>
    <b:Pages> 6-25</b:Pages>
    <b:RefOrder>216</b:RefOrder>
  </b:Source>
  <b:Source>
    <b:Tag>Placeholder11</b:Tag>
    <b:SourceType>InternetSite</b:SourceType>
    <b:Guid>{943F4E4A-3831-4898-9C0C-818CD5B3E076}</b:Guid>
    <b:Year>2017</b:Year>
    <b:InternetSiteTitle>www.investopedia.com</b:InternetSiteTitle>
    <b:RefOrder>217</b:RefOrder>
  </b:Source>
  <b:Source>
    <b:Tag>Mou09</b:Tag>
    <b:SourceType>JournalArticle</b:SourceType>
    <b:Guid>{B9702820-E089-44AF-AD04-6F93FBD7710A}</b:Guid>
    <b:Author>
      <b:Author>
        <b:NameList>
          <b:Person>
            <b:Last>Mousa</b:Last>
            <b:First>sonia</b:First>
          </b:Person>
        </b:NameList>
      </b:Author>
    </b:Author>
    <b:Title> "Governance, Managers’ Entrenchment and Performance: Evidence in French Firms Listed in SBF 120</b:Title>
    <b:Year>2009</b:Year>
    <b:JournalName>The Journal of Business</b:JournalName>
    <b:RefOrder>218</b:RefOrder>
  </b:Source>
  <b:Source>
    <b:Tag>Wei88</b:Tag>
    <b:SourceType>JournalArticle</b:SourceType>
    <b:Guid>{25BEB150-00A0-4471-AB58-A5196E8C8E5A}</b:Guid>
    <b:Title>Journal of Financial Economics</b:Title>
    <b:JournalName>Outside Directors and CEO turnover</b:JournalName>
    <b:Year>1988</b:Year>
    <b:Pages>431-460</b:Pages>
    <b:Author>
      <b:Author>
        <b:NameList>
          <b:Person>
            <b:Last>Weisbach</b:Last>
            <b:First>Michael</b:First>
          </b:Person>
        </b:NameList>
      </b:Author>
    </b:Author>
    <b:RefOrder>219</b:RefOrder>
  </b:Source>
  <b:Source>
    <b:Tag>And03</b:Tag>
    <b:SourceType>JournalArticle</b:SourceType>
    <b:Guid>{DED0D22C-FC18-4C2A-A4E3-7ADF030D4F93}</b:Guid>
    <b:Author>
      <b:Author>
        <b:NameList>
          <b:Person>
            <b:Last>Anderson</b:Last>
            <b:First>R.</b:First>
          </b:Person>
          <b:Person>
            <b:Last>Reeb</b:Last>
            <b:First>David</b:First>
            <b:Middle>M.</b:Middle>
          </b:Person>
        </b:NameList>
      </b:Author>
    </b:Author>
    <b:Title>Founding-Family Ownership and Firm Performance: Evidence from the S&amp;P 500</b:Title>
    <b:JournalName>Journal of Finance</b:JournalName>
    <b:Year>2003</b:Year>
    <b:Pages>1301-1327</b:Pages>
    <b:RefOrder>220</b:RefOrder>
  </b:Source>
  <b:Source>
    <b:Tag>Lin10</b:Tag>
    <b:SourceType>JournalArticle</b:SourceType>
    <b:Guid>{0EC20C81-1454-4F0C-9E9A-224928714F24}</b:Guid>
    <b:Author>
      <b:Author>
        <b:NameList>
          <b:Person>
            <b:Last>Lin</b:Last>
            <b:First>Shu</b:First>
            <b:Middle>Ling</b:Middle>
          </b:Person>
          <b:Person>
            <b:Last>Wu</b:Last>
            <b:First>Ming</b:First>
            <b:Middle>Fing</b:Middle>
          </b:Person>
        </b:NameList>
      </b:Author>
    </b:Author>
    <b:Title>Family Ownership and Risk-Taking: Exploring Nonlinear effects in Financial Industry</b:Title>
    <b:JournalName>African Journal of Business Management Vol</b:JournalName>
    <b:Year>2010</b:Year>
    <b:Pages>3738-3751</b:Pages>
    <b:RefOrder>221</b:RefOrder>
  </b:Source>
  <b:Source>
    <b:Tag>Dow99</b:Tag>
    <b:SourceType>JournalArticle</b:SourceType>
    <b:Guid>{55E35850-424B-44C2-B719-388FED93D119}</b:Guid>
    <b:Author>
      <b:Author>
        <b:NameList>
          <b:Person>
            <b:Last>Downs</b:Last>
            <b:First>David</b:First>
          </b:Person>
          <b:Person>
            <b:Last>Sommer</b:Last>
            <b:First>David</b:First>
            <b:Middle>W.</b:Middle>
          </b:Person>
        </b:NameList>
      </b:Author>
    </b:Author>
    <b:Title>Monitoring, Ownership, and Risk-Taking: The Impact of Guaranty Funds</b:Title>
    <b:JournalName>The Journal of Risk and Insurance</b:JournalName>
    <b:Year>1999</b:Year>
    <b:Pages>477-497</b:Pages>
    <b:RefOrder>222</b:RefOrder>
  </b:Source>
  <b:Source>
    <b:Tag>Che99</b:Tag>
    <b:SourceType>JournalArticle</b:SourceType>
    <b:Guid>{D0B78384-8394-4CA1-9DAE-A5D474AF46FA}</b:Guid>
    <b:Author>
      <b:Author>
        <b:NameList>
          <b:Person>
            <b:Last>Chen</b:Last>
            <b:First>Carl</b:First>
            <b:Middle>R.</b:Middle>
          </b:Person>
          <b:Person>
            <b:Last>Steiner</b:Last>
            <b:First>Thomas</b:First>
            <b:Middle>L.</b:Middle>
          </b:Person>
        </b:NameList>
      </b:Author>
    </b:Author>
    <b:Title>Managerial Ownership and Agency Conflicts: A Nonlinear Simultaneous Equation Analysis of Managerial Ownership, Risk Taking, Debt Policy, and Dividend Policy</b:Title>
    <b:JournalName>The Financial Review</b:JournalName>
    <b:Year>1999</b:Year>
    <b:Pages>119-136</b:Pages>
    <b:RefOrder>223</b:RefOrder>
  </b:Source>
  <b:Source>
    <b:Tag>And99</b:Tag>
    <b:SourceType>JournalArticle</b:SourceType>
    <b:Guid>{B7E8C95B-A463-463A-A08D-8850ABF21314}</b:Guid>
    <b:Title>Corporate control, bank risk taking, and the health of the banking industry</b:Title>
    <b:JournalName>Journal of Banking &amp; Finance</b:JournalName>
    <b:Year>1999</b:Year>
    <b:Pages>1383-1398</b:Pages>
    <b:Author>
      <b:Author>
        <b:NameList>
          <b:Person>
            <b:Last>Anderson </b:Last>
            <b:First>Ronald C. </b:First>
          </b:Person>
          <b:Person>
            <b:Last>Fraser</b:Last>
            <b:First>Donald R. </b:First>
          </b:Person>
        </b:NameList>
      </b:Author>
    </b:Author>
    <b:RefOrder>224</b:RefOrder>
  </b:Source>
  <b:Source>
    <b:Tag>Sha11</b:Tag>
    <b:SourceType>JournalArticle</b:SourceType>
    <b:Guid>{02CB3E5F-E82A-4E68-812A-2C2CD3688179}</b:Guid>
    <b:Author>
      <b:Author>
        <b:NameList>
          <b:Person>
            <b:Last>Shah</b:Last>
            <b:First>Syed</b:First>
            <b:Middle>Zulfiqar Ali</b:Middle>
          </b:Person>
          <b:Person>
            <b:Last>Butt</b:Last>
            <b:First>Safdar</b:First>
            <b:Middle>Ali</b:Middle>
          </b:Person>
          <b:Person>
            <b:Last>Saeed</b:Last>
            <b:First>Mohammad</b:First>
            <b:Middle>Mohtasham</b:Middle>
          </b:Person>
        </b:NameList>
      </b:Author>
    </b:Author>
    <b:Title>Ownership Structure and Performance of Firms:Empirical Evidence from an Emerging Market</b:Title>
    <b:JournalName>African Journal of Business Management</b:JournalName>
    <b:Year>2011</b:Year>
    <b:Pages>515-523</b:Pages>
    <b:RefOrder>225</b:RefOrder>
  </b:Source>
  <b:Source>
    <b:Tag>Chu11</b:Tag>
    <b:SourceType>JournalArticle</b:SourceType>
    <b:Guid>{E9AF9F14-0856-41FA-B396-4581EA55708E}</b:Guid>
    <b:Author>
      <b:Author>
        <b:NameList>
          <b:Person>
            <b:Last>Chun</b:Last>
            <b:First>Sun</b:First>
            <b:Middle>Eae</b:Middle>
          </b:Person>
          <b:Person>
            <b:Last>Nagano</b:Last>
            <b:First>Mamoru</b:First>
          </b:Person>
          <b:Person>
            <b:Last>Lee</b:Last>
            <b:First>Min</b:First>
            <b:Middle>hwan</b:Middle>
          </b:Person>
        </b:NameList>
      </b:Author>
    </b:Author>
    <b:Title>Ownership Structure and Risk-taking Behavior: Evidence from Banks in Korea and Japan.</b:Title>
    <b:JournalName>Asian Economic Journal</b:JournalName>
    <b:Year>2011</b:Year>
    <b:Pages>151–175</b:Pages>
    <b:RefOrder>226</b:RefOrder>
  </b:Source>
  <b:Source>
    <b:Tag>ACl05</b:Tag>
    <b:SourceType>JournalArticle</b:SourceType>
    <b:Guid>{338BF739-1A79-4C73-B035-316E26ABF36D}</b:Guid>
    <b:Title>A Clash of Capitalisms: Foreign Shareholders and Corporate Restructuring in 1990s Japan</b:Title>
    <b:JournalName>American Sociological Review</b:JournalName>
    <b:Year>2005</b:Year>
    <b:Pages>451-471</b:Pages>
    <b:Author>
      <b:Author>
        <b:NameList>
          <b:Person>
            <b:Last>Ahmadjian</b:Last>
            <b:First>C.</b:First>
          </b:Person>
          <b:Person>
            <b:Last>Robbins</b:Last>
            <b:First>G.</b:First>
          </b:Person>
        </b:NameList>
      </b:Author>
    </b:Author>
    <b:RefOrder>227</b:RefOrder>
  </b:Source>
  <b:Source>
    <b:Tag>Bab09</b:Tag>
    <b:SourceType>JournalArticle</b:SourceType>
    <b:Guid>{21CCC8E5-EF08-40CE-B255-F4D733904693}</b:Guid>
    <b:Author>
      <b:Author>
        <b:NameList>
          <b:Person>
            <b:Last>Baba</b:Last>
            <b:First>N.</b:First>
          </b:Person>
        </b:NameList>
      </b:Author>
    </b:Author>
    <b:Title>Increased Presence of Foreign Investors and Dividend Policy of Japanese Firms</b:Title>
    <b:JournalName>Pacific Basin Finance Journal</b:JournalName>
    <b:Year>2009</b:Year>
    <b:Pages>163-174</b:Pages>
    <b:RefOrder>228</b:RefOrder>
  </b:Source>
  <b:Source>
    <b:Tag>Ros05</b:Tag>
    <b:SourceType>JournalArticle</b:SourceType>
    <b:Guid>{40DFC8D0-953F-4AFD-94A1-5E7530D4329E}</b:Guid>
    <b:Title>Managerial Ownership and Firm Performance in Listed Danish Firms:: In Search of the Missing Link</b:Title>
    <b:JournalName>European Management Journal</b:JournalName>
    <b:Year>2005</b:Year>
    <b:Pages>542-553</b:Pages>
    <b:Author>
      <b:Author>
        <b:NameList>
          <b:Person>
            <b:Last>Rose</b:Last>
            <b:First>Caspar</b:First>
          </b:Person>
        </b:NameList>
      </b:Author>
    </b:Author>
    <b:RefOrder>229</b:RefOrder>
  </b:Source>
  <b:Source>
    <b:Tag>Cui02</b:Tag>
    <b:SourceType>JournalArticle</b:SourceType>
    <b:Guid>{B77C2F73-EA35-430E-B232-074E04A24C13}</b:Guid>
    <b:Title>The relationship between managerial ownership and firm performance in high R&amp;D firms</b:Title>
    <b:JournalName>Journal of Corporate Finance</b:JournalName>
    <b:Year>2002</b:Year>
    <b:Pages>vol 8 (4) 313-336</b:Pages>
    <b:Author>
      <b:Author>
        <b:NameList>
          <b:Person>
            <b:Last>Huimin</b:Last>
            <b:First>Cui</b:First>
          </b:Person>
          <b:Person>
            <b:Last>Mak</b:Last>
            <b:First>Y.T</b:First>
          </b:Person>
        </b:NameList>
      </b:Author>
    </b:Author>
    <b:RefOrder>230</b:RefOrder>
  </b:Source>
  <b:Source>
    <b:Tag>Jah06</b:Tag>
    <b:SourceType>JournalArticle</b:SourceType>
    <b:Guid>{D53FF539-05F8-4763-A264-9E699B53580C}</b:Guid>
    <b:Title>Managerial ownership, risk, and corporate performance</b:Title>
    <b:JournalName>International Journal of Commerce and Management</b:JournalName>
    <b:Year>2006</b:Year>
    <b:Author>
      <b:Author>
        <b:NameList>
          <b:Person>
            <b:Last>Jahmani</b:Last>
            <b:First>Yousef</b:First>
          </b:Person>
          <b:Person>
            <b:Last>Ansari</b:Last>
            <b:First>Mohammed</b:First>
          </b:Person>
        </b:NameList>
      </b:Author>
    </b:Author>
    <b:RefOrder>231</b:RefOrder>
  </b:Source>
  <b:Source>
    <b:Tag>Gad99</b:Tag>
    <b:SourceType>JournalArticle</b:SourceType>
    <b:Guid>{396E86CB-61C7-4A72-9879-BF2591B7C048}</b:Guid>
    <b:Author>
      <b:Author>
        <b:NameList>
          <b:Person>
            <b:Last>Gadhoum</b:Last>
            <b:First>Y.</b:First>
          </b:Person>
        </b:NameList>
      </b:Author>
    </b:Author>
    <b:Title>Potential Effects of Managers' Entrenchment and Shareholdings on Competitiveness</b:Title>
    <b:Year>1999</b:Year>
    <b:JournalName>European Journal of Operational Research</b:JournalName>
    <b:Pages>332-349</b:Pages>
    <b:RefOrder>232</b:RefOrder>
  </b:Source>
  <b:Source>
    <b:Tag>Ali15</b:Tag>
    <b:SourceType>JournalArticle</b:SourceType>
    <b:Guid>{190BBAE7-71DB-4929-8BD6-2572A0FC67E5}</b:Guid>
    <b:Title>The cement industry of Pakistan: A swot Analysis</b:Title>
    <b:JournalName>Journal for Studies in Management and Planning</b:JournalName>
    <b:Year>2015</b:Year>
    <b:Pages>Vol 1 (2) 236-245</b:Pages>
    <b:Author>
      <b:Author>
        <b:NameList>
          <b:Person>
            <b:Last>Ali</b:Last>
            <b:First>Najabat</b:First>
          </b:Person>
          <b:Person>
            <b:Last>Anwer</b:Last>
            <b:First>Muhammad</b:First>
          </b:Person>
          <b:Person>
            <b:Last>Jaffar</b:Last>
            <b:First>Abbas</b:First>
          </b:Person>
          <b:Person>
            <b:Last>Zaidi</b:Last>
            <b:Middle>Raza</b:Middle>
            <b:First>Syed Murtazein</b:First>
          </b:Person>
        </b:NameList>
      </b:Author>
    </b:Author>
    <b:RefOrder>233</b:RefOrder>
  </b:Source>
  <b:Source>
    <b:Tag>Hus19</b:Tag>
    <b:SourceType>JournalArticle</b:SourceType>
    <b:Guid>{B84C3CAB-80EF-4324-9BC9-10FDB9E163DF}</b:Guid>
    <b:Title>IMPORTANCE OF IRON AND STEEL INDUSTRIES, IN THE BACKDROP OF PAKISTAN STEEL</b:Title>
    <b:JournalName>Research gate</b:JournalName>
    <b:Year>2019</b:Year>
    <b:Pages>1-8</b:Pages>
    <b:Author>
      <b:Author>
        <b:NameList>
          <b:Person>
            <b:Last>Hussain</b:Last>
            <b:First>Muhammad Shoukat</b:First>
          </b:Person>
        </b:NameList>
      </b:Author>
    </b:Author>
    <b:RefOrder>234</b:RefOrder>
  </b:Source>
  <b:Source>
    <b:Tag>www</b:Tag>
    <b:SourceType>InternetSite</b:SourceType>
    <b:Guid>{C2162D7B-2CC9-4DFB-95F8-DB11E1005AA0}</b:Guid>
    <b:InternetSiteTitle>www.icap.org.pk</b:InternetSiteTitle>
    <b:RefOrder>235</b:RefOrder>
  </b:Source>
  <b:Source>
    <b:Tag>Phi03</b:Tag>
    <b:SourceType>BookSection</b:SourceType>
    <b:Guid>{1F95F2E8-87F3-4EF8-85B4-39722BF98DE2}</b:Guid>
    <b:Title>Stakeholder Theory and Organizational Ethics</b:Title>
    <b:Year>2003</b:Year>
    <b:Pages>83</b:Pages>
    <b:City>San Francisco</b:City>
    <b:Publisher>Berret Koehler</b:Publisher>
    <b:Author>
      <b:Author>
        <b:NameList>
          <b:Person>
            <b:Last>Philips</b:Last>
            <b:First>Robert</b:First>
          </b:Person>
        </b:NameList>
      </b:Author>
    </b:Author>
    <b:RefOrder>236</b:RefOrder>
  </b:Source>
  <b:Source>
    <b:Tag>Deh06</b:Tag>
    <b:SourceType>JournalArticle</b:SourceType>
    <b:Guid>{13FD08EB-1AE0-4A1C-A0EA-2B157783C5F4}</b:Guid>
    <b:Title>Relationship between service quality and customer satisfaction</b:Title>
    <b:JournalName>Department of Business adminstraction and social science</b:JournalName>
    <b:Year>2006</b:Year>
    <b:Author>
      <b:Author>
        <b:NameList>
          <b:Person>
            <b:Last>Dehghan</b:Last>
            <b:First>ali</b:First>
          </b:Person>
        </b:NameList>
      </b:Author>
    </b:Author>
    <b:RefOrder>237</b:RefOrder>
  </b:Source>
  <b:Source>
    <b:Tag>Joh20</b:Tag>
    <b:SourceType>JournalArticle</b:SourceType>
    <b:Guid>{A0AE509C-0088-4A98-9A83-B24C995AC0F2}</b:Guid>
    <b:Title>Non-Refoulement and the Evolving Definition of Persecution</b:Title>
    <b:Year>2020</b:Year>
    <b:Author>
      <b:Author>
        <b:NameList>
          <b:Person>
            <b:Last>Johnson</b:Last>
            <b:First>M.</b:First>
            <b:Middle>R.</b:Middle>
          </b:Person>
        </b:NameList>
      </b:Author>
    </b:Author>
    <b:JournalName>international Journal of Refugee Law</b:JournalName>
    <b:Pages>234-256.</b:Pages>
    <b:RefOrder>1</b:RefOrder>
  </b:Source>
  <b:Source>
    <b:Tag>Joh181</b:Tag>
    <b:SourceType>JournalArticle</b:SourceType>
    <b:Guid>{9EB8E318-39D2-47A2-B653-71775C19DC50}</b:Guid>
    <b:Author>
      <b:Author>
        <b:NameList>
          <b:Person>
            <b:Last>Johnson</b:Last>
            <b:First>L.</b:First>
            <b:Middle>P.</b:Middle>
          </b:Person>
        </b:NameList>
      </b:Author>
    </b:Author>
    <b:Title>Protecting LGBTQ+ Refugees: Challenges and Strategies</b:Title>
    <b:JournalName>Journal of Refugee Studies</b:JournalName>
    <b:Year>2018</b:Year>
    <b:Pages>145-167</b:Pages>
    <b:RefOrder>2</b:RefOrder>
  </b:Source>
  <b:Source>
    <b:Tag>Exa22</b:Tag>
    <b:SourceType>JournalArticle</b:SourceType>
    <b:Guid>{33E88018-10B5-4975-8037-21D1380C5A12}</b:Guid>
    <b:Author>
      <b:Author>
        <b:NameList>
          <b:Person>
            <b:Last>Smith</b:Last>
            <b:First>J.</b:First>
            <b:Middle>A., Johnson, M. R., Lee, H. K., Williams, S. D., Brown, A. B., Martinez, C. D., ... Garcia, F. G.</b:Middle>
          </b:Person>
        </b:NameList>
      </b:Author>
    </b:Author>
    <b:Title>Refugee Protection: A Comprehensive Review</b:Title>
    <b:JournalName>International Journal of Migration Studies</b:JournalName>
    <b:Year>2022</b:Year>
    <b:Pages>289-307</b:Pages>
    <b:RefOrder>3</b:RefOrder>
  </b:Source>
  <b:Source>
    <b:Tag>Uni19</b:Tag>
    <b:SourceType>Report</b:SourceType>
    <b:Guid>{2ACC1FEE-C8AD-4DF2-9BBC-5951CD5F425F}</b:Guid>
    <b:Title> Refugee Protection under International Law</b:Title>
    <b:Year>2019</b:Year>
    <b:Author>
      <b:Author>
        <b:NameList>
          <b:Person>
            <b:Last>Refugee</b:Last>
            <b:First>United</b:First>
            <b:Middle>Nations High Commissioner for</b:Middle>
          </b:Person>
        </b:NameList>
      </b:Author>
    </b:Author>
    <b:Publisher> UNHCR</b:Publisher>
    <b:City>Hague</b:City>
    <b:RefOrder>238</b:RefOrder>
  </b:Source>
  <b:Source>
    <b:Tag>Mil18</b:Tag>
    <b:SourceType>Book</b:SourceType>
    <b:Guid>{D2D9BA1A-AC18-4368-990B-A409C84D9757}</b:Guid>
    <b:Title> Protecting Displaced Persons: A Global Responsibility. Routledge.</b:Title>
    <b:Year>2018</b:Year>
    <b:Publisher>adventure press works</b:Publisher>
    <b:City>chicago</b:City>
    <b:Author>
      <b:Author>
        <b:NameList>
          <b:Person>
            <b:Last>Miller</b:Last>
            <b:First>M.</b:First>
            <b:Middle>K., &amp; Jackson, L. P. (Eds.).</b:Middle>
          </b:Person>
        </b:NameList>
      </b:Author>
    </b:Author>
    <b:RefOrder>239</b:RefOrder>
  </b:Source>
  <b:Source>
    <b:Tag>Gar</b:Tag>
    <b:SourceType>Book</b:SourceType>
    <b:Guid>{7780DCCB-341D-42B9-97B2-51298A674732}</b:Guid>
    <b:Author>
      <b:Author>
        <b:NameList>
          <b:Person>
            <b:Last>Garcia</b:Last>
            <b:First>M.</b:First>
            <b:Middle>L.</b:Middle>
          </b:Person>
        </b:NameList>
      </b:Author>
    </b:Author>
    <b:Title>Refugee Law and Gender Gender-Related Persecution: Intersectionality and Refugee Status Determination.</b:Title>
    <b:City>paris</b:City>
    <b:Publisher>Cambridge University Press</b:Publisher>
    <b:Year>2016</b:Year>
    <b:RefOrder>240</b:RefOrder>
  </b:Source>
  <b:Source>
    <b:Tag>Amn21</b:Tag>
    <b:SourceType>Report</b:SourceType>
    <b:Guid>{BD2B5E02-BEFF-4930-8337-7B474534123F}</b:Guid>
    <b:Author>
      <b:Author>
        <b:NameList>
          <b:Person>
            <b:Last>International</b:Last>
            <b:First>Amnesty</b:First>
          </b:Person>
        </b:NameList>
      </b:Author>
    </b:Author>
    <b:Title>Left to Fend for Themselves: The Impact of COVID-19 on Refugees, Asylum Seekers, and Migrants in India. </b:Title>
    <b:Year>2021</b:Year>
    <b:Publisher>Amnesty International</b:Publisher>
    <b:City>newyork</b:City>
    <b:RefOrder>241</b:RefOrder>
  </b:Source>
  <b:Source>
    <b:Tag>Smi21</b:Tag>
    <b:SourceType>JournalArticle</b:SourceType>
    <b:Guid>{BD85EF96-FCCE-46F0-8FC6-CF1145669EE6}</b:Guid>
    <b:Title> Refugee Status Determination and Gender-Based Violence</b:Title>
    <b:Year>2021</b:Year>
    <b:Author>
      <b:Author>
        <b:NameList>
          <b:Person>
            <b:Last>Smith</b:Last>
            <b:First>J.</b:First>
            <b:Middle>A., Johnson, M. R., &amp; Lee, H. K.</b:Middle>
          </b:Person>
        </b:NameList>
      </b:Author>
    </b:Author>
    <b:JournalName>International Journal of Human Rights</b:JournalName>
    <b:Pages> 321-341. </b:Pages>
    <b:RefOrder>242</b:RefOrder>
  </b:Source>
  <b:Source>
    <b:Tag>Gom19</b:Tag>
    <b:SourceType>JournalArticle</b:SourceType>
    <b:Guid>{9560F330-4EDC-4CD4-A3F2-17B4B36F56C5}</b:Guid>
    <b:Author>
      <b:Author>
        <b:NameList>
          <b:Person>
            <b:Last>Gomez</b:Last>
            <b:First>R.</b:First>
            <b:Middle>C</b:Middle>
          </b:Person>
        </b:NameList>
      </b:Author>
    </b:Author>
    <b:Title> Unaccompanied Minors: Challenges in Refugee Protection</b:Title>
    <b:JournalName>Refugee Law Quarterly</b:JournalName>
    <b:Year>2019</b:Year>
    <b:Pages> 432-450.</b:Pages>
    <b:RefOrder>243</b:RefOrder>
  </b:Source>
  <b:Source>
    <b:Tag>Lee20</b:Tag>
    <b:SourceType>JournalArticle</b:SourceType>
    <b:Guid>{B6DB42B5-5CCA-4566-91E0-6ECE66D834C2}</b:Guid>
    <b:Author>
      <b:Author>
        <b:NameList>
          <b:Person>
            <b:Last>Lee</b:Last>
            <b:First>S.</b:First>
            <b:Middle>H.</b:Middle>
          </b:Person>
        </b:NameList>
      </b:Author>
    </b:Author>
    <b:Title>Local Integration of Displaced Persons: Lessons from the Cartagena Declaration</b:Title>
    <b:JournalName> International Journal of Migration and Refugee Studies</b:JournalName>
    <b:Year>2020</b:Year>
    <b:Pages>245-263</b:Pages>
    <b:RefOrder>244</b:RefOrder>
  </b:Source>
  <b:Source>
    <b:Tag>Jon17</b:Tag>
    <b:SourceType>JournalArticle</b:SourceType>
    <b:Guid>{FA9F78E7-BFF0-496F-8DBE-0B88709B0DA9}</b:Guid>
    <b:Author>
      <b:Author>
        <b:NameList>
          <b:Person>
            <b:Last>Jones</b:Last>
            <b:First>L.</b:First>
            <b:Middle>P.</b:Middle>
          </b:Person>
        </b:NameList>
      </b:Author>
    </b:Author>
    <b:Title> Local Responses to Forced Displacement</b:Title>
    <b:JournalName> Journal of Migration Studies</b:JournalName>
    <b:Year>2017</b:Year>
    <b:Pages>412-433</b:Pages>
    <b:RefOrder>245</b:RefOrder>
  </b:Source>
  <b:Source>
    <b:Tag>Jan131</b:Tag>
    <b:SourceType>JournalArticle</b:SourceType>
    <b:Guid>{DE6FAED2-212F-4121-B9C0-91547BBB45F5}</b:Guid>
    <b:Title>COUNTER TERRORISM ACTIVITIES IN PAKISTAN: COMPARATIVE STUDY OF THE EDITORIALS OF ELITE NEWSPAPERS </b:Title>
    <b:JournalName>Gomal University Journal of Research</b:JournalName>
    <b:Year>2013</b:Year>
    <b:Pages>77</b:Pages>
    <b:Author>
      <b:Author>
        <b:NameList>
          <b:Person>
            <b:Last>Jan</b:Last>
            <b:First>Mirza</b:First>
          </b:Person>
          <b:Person>
            <b:Last>Ali</b:Last>
            <b:First>Zafar</b:First>
          </b:Person>
          <b:Person>
            <b:Last>Siddiq</b:Last>
            <b:First>Muhammad</b:First>
          </b:Person>
          <b:Person>
            <b:First>Noshina</b:First>
          </b:Person>
        </b:NameList>
      </b:Author>
    </b:Author>
    <b:RefOrder>1</b:RefOrder>
  </b:Source>
  <b:Source>
    <b:Tag>Dav11</b:Tag>
    <b:SourceType>JournalArticle</b:SourceType>
    <b:Guid>{B1110FF6-9FBB-4055-8054-1C48D7274335}</b:Guid>
    <b:Author>
      <b:Author>
        <b:NameList>
          <b:Person>
            <b:Last>Campbell</b:Last>
            <b:First>David</b:First>
          </b:Person>
        </b:NameList>
      </b:Author>
    </b:Author>
    <b:Title>How has photojournalism has framed the war in Afghanistan</b:Title>
    <b:JournalName>Photographs from war in Afghanistan</b:JournalName>
    <b:Year>2011</b:Year>
    <b:Pages>10</b:Pages>
    <b:RefOrder>2</b:RefOrder>
  </b:Source>
  <b:Source>
    <b:Tag>Jel10</b:Tag>
    <b:SourceType>JournalArticle</b:SourceType>
    <b:Guid>{65359AAA-5040-4E22-B52A-236CB2210BE1}</b:Guid>
    <b:Title>Photojournalism in War and Armed Conflicts </b:Title>
    <b:Year>2010</b:Year>
    <b:Pages>125</b:Pages>
    <b:Author>
      <b:Author>
        <b:NameList>
          <b:Person>
            <b:Last>Below</b:Last>
            <b:First>Jelka</b:First>
            <b:Middle>Ninja</b:Middle>
          </b:Person>
        </b:NameList>
      </b:Author>
    </b:Author>
    <b:RefOrder>3</b:RefOrder>
  </b:Source>
  <b:Source>
    <b:Tag>Mil12</b:Tag>
    <b:SourceType>JournalArticle</b:SourceType>
    <b:Guid>{2EFB3316-3697-4EE9-B2D9-451D65DDE784}</b:Guid>
    <b:Author>
      <b:Author>
        <b:NameList>
          <b:Person>
            <b:Last>Sterio</b:Last>
            <b:First>Milena</b:First>
          </b:Person>
        </b:NameList>
      </b:Author>
    </b:Author>
    <b:Title>The United States' Use of Drones in the War on Terror: The (Il)legality of Targeted Killings under International Law</b:Title>
    <b:JournalName>CASE WESTERN RESERVE JOURNAL OF INTERNATIONAL LAW</b:JournalName>
    <b:Year>2012</b:Year>
    <b:Pages>2014</b:Pages>
    <b:RefOrder>4</b:RefOrder>
  </b:Source>
  <b:Source>
    <b:Tag>Cop10</b:Tag>
    <b:SourceType>JournalArticle</b:SourceType>
    <b:Guid>{697D9F17-CACF-475C-84AD-9E07FAB93F50}</b:Guid>
    <b:Title>Image Impact in Print Media</b:Title>
    <b:JournalName>Impact of News Images </b:JournalName>
    <b:Year>2010</b:Year>
    <b:Pages>40</b:Pages>
    <b:Author>
      <b:Author>
        <b:NameList>
          <b:Person>
            <b:Last>Cope</b:Last>
            <b:First>Jay</b:First>
          </b:Person>
          <b:Person>
            <b:Last>Fifrick</b:Last>
            <b:First>Andeelynn</b:First>
          </b:Person>
        </b:NameList>
      </b:Author>
    </b:Author>
    <b:RefOrder>5</b:RefOrder>
  </b:Source>
  <b:Source>
    <b:Tag>Ish13</b:Tag>
    <b:SourceType>JournalArticle</b:SourceType>
    <b:Guid>{1A350709-3433-4735-812E-1AD0F27BD3C3}</b:Guid>
    <b:Title> Pakistan and the Fight Against Terrorism </b:Title>
    <b:JournalName>Asia-Pacific Foundation and George C. Marshall European Center For Security Studies </b:JournalName>
    <b:Year>2013</b:Year>
    <b:Pages>12</b:Pages>
    <b:Author>
      <b:Author>
        <b:NameList>
          <b:Person>
            <b:Last>Ahmed</b:Last>
            <b:First>Ishtiaq</b:First>
          </b:Person>
        </b:NameList>
      </b:Author>
    </b:Author>
    <b:RefOrder>6</b:RefOrder>
  </b:Source>
  <b:Source>
    <b:Tag>Jay12</b:Tag>
    <b:SourceType>JournalArticle</b:SourceType>
    <b:Guid>{FFC5FDE0-36AF-4E0E-96FB-7508698B793B}</b:Guid>
    <b:Author>
      <b:Author>
        <b:NameList>
          <b:Person>
            <b:Last>Cope</b:Last>
            <b:First>Jay</b:First>
          </b:Person>
          <b:Person>
            <b:Last>Fifrick</b:Last>
            <b:First>Andeelynn</b:First>
          </b:Person>
          <b:Person>
            <b:Last>Holl</b:Last>
            <b:First>Douglas</b:First>
          </b:Person>
          <b:Person>
            <b:Last>Martin</b:Last>
            <b:First>Marlon</b:First>
          </b:Person>
          <b:Person>
            <b:Last>Nunnally</b:Last>
            <b:First>David</b:First>
          </b:Person>
          <b:Person>
            <b:Last>Preston</b:Last>
            <b:First>Donald</b:First>
          </b:Person>
        </b:NameList>
      </b:Author>
    </b:Author>
    <b:Title>IMPACT OF IMAGES IN PRINT MEDIA</b:Title>
    <b:JournalName>IMPACT OF News IMAGES</b:JournalName>
    <b:Year>2012</b:Year>
    <b:Pages>40</b:Pages>
    <b:RefOrder>8</b:RefOrder>
  </b:Source>
  <b:Source>
    <b:Tag>Joh12</b:Tag>
    <b:SourceType>Book</b:SourceType>
    <b:Guid>{D760942E-6FCF-4153-BD83-3DC030EBE985}</b:Guid>
    <b:Title>Icons of war and terror :media images in an age of international risk</b:Title>
    <b:Year>2012</b:Year>
    <b:Author>
      <b:Author>
        <b:NameList>
          <b:Person>
            <b:Last>Tulloch</b:Last>
            <b:First>John</b:First>
          </b:Person>
          <b:Person>
            <b:Last>Blood</b:Last>
            <b:First>R.</b:First>
            <b:Middle>Warwick</b:Middle>
          </b:Person>
        </b:NameList>
      </b:Author>
    </b:Author>
    <b:City>New York</b:City>
    <b:Publisher>Routledge</b:Publisher>
    <b:RefOrder>9</b:RefOrder>
  </b:Source>
  <b:Source>
    <b:Tag>Pau13</b:Tag>
    <b:SourceType>JournalArticle</b:SourceType>
    <b:Guid>{0440A301-4258-42CD-883B-FE193CC7F34D}</b:Guid>
    <b:Author>
      <b:Author>
        <b:NameList>
          <b:Person>
            <b:Last>Roszkowski</b:Last>
            <b:First>Paul</b:First>
          </b:Person>
        </b:NameList>
      </b:Author>
    </b:Author>
    <b:Title> IMPACT OF IMAGES IN PRINT MEDIA </b:Title>
    <b:JournalName>Impact of News Images </b:JournalName>
    <b:Year>2013</b:Year>
    <b:Pages>40</b:Pages>
    <b:RefOrder>10</b:RefOrder>
  </b:Source>
  <b:Source>
    <b:Tag>Ste09</b:Tag>
    <b:SourceType>JournalArticle</b:SourceType>
    <b:Guid>{5073A921-6F2B-4FBE-9195-09EFB0A5F43B}</b:Guid>
    <b:Author>
      <b:Author>
        <b:NameList>
          <b:Person>
            <b:Last>Reese</b:Last>
            <b:First>Stephen</b:First>
            <b:Middle>D.</b:Middle>
          </b:Person>
          <b:Person>
            <b:Last>Lewis</b:Last>
            <b:First>Seth</b:First>
            <b:Middle>C.</b:Middle>
          </b:Person>
        </b:NameList>
      </b:Author>
    </b:Author>
    <b:Title>Framing the War on Terror The internalization of policy in the US pres</b:Title>
    <b:JournalName>Journalism</b:JournalName>
    <b:Year>2009</b:Year>
    <b:Pages>21-24</b:Pages>
    <b:RefOrder>11</b:RefOrder>
  </b:Source>
  <b:Source>
    <b:Tag>Dom07</b:Tag>
    <b:SourceType>InternetSite</b:SourceType>
    <b:Guid>{698AB835-319B-4748-8154-2B637092DC15}</b:Guid>
    <b:Title>The end of the media’s “war on terror”? An analysis of a declining frame</b:Title>
    <b:Year>2007</b:Year>
    <b:Author>
      <b:Author>
        <b:NameList>
          <b:Person>
            <b:Last>Cziesche</b:Last>
            <b:First>Dominik</b:First>
          </b:Person>
        </b:NameList>
      </b:Author>
    </b:Author>
    <b:Pages>43</b:Pages>
    <b:URL>https://www.lse.ac.uk/media-and-communications/assets/documents/research/msc-dissertations/2007/Cziesche-final.pdf</b:URL>
    <b:RefOrder>12</b:RefOrder>
  </b:Source>
  <b:Source>
    <b:Tag>Mic04</b:Tag>
    <b:SourceType>JournalArticle</b:SourceType>
    <b:Guid>{5FF27F35-D07A-4833-8D6C-1BB695EAE874}</b:Guid>
    <b:Author>
      <b:Author>
        <b:NameList>
          <b:Person>
            <b:Last>Paech</b:Last>
            <b:First>Michaela</b:First>
          </b:Person>
        </b:NameList>
      </b:Author>
    </b:Author>
    <b:Title>A Photograph is Worth More than a Thousand Words</b:Title>
    <b:Year>2004</b:Year>
    <b:RefOrder>13</b:RefOrder>
  </b:Source>
  <b:Source>
    <b:Tag>Muh122</b:Tag>
    <b:SourceType>JournalArticle</b:SourceType>
    <b:Guid>{A637C758-0A49-4E3E-BFB3-1A3F15797D98}</b:Guid>
    <b:Author>
      <b:Author>
        <b:NameList>
          <b:Person>
            <b:Last>Raza</b:Last>
            <b:First>Muhammad</b:First>
            <b:Middle>Riaz</b:Middle>
          </b:Person>
          <b:Person>
            <b:Last>Jan</b:Last>
            <b:First>Mirza</b:First>
          </b:Person>
          <b:Person>
            <b:Last>Sultan</b:Last>
            <b:First>Khalid</b:First>
          </b:Person>
          <b:Person>
            <b:Last>Aziz</b:Last>
            <b:First>Syed</b:First>
            <b:Middle>Farhan</b:Middle>
          </b:Person>
        </b:NameList>
      </b:Author>
    </b:Author>
    <b:Title>PORTRAYAL OF WAR ON TERRORISM IN PAKISTANI PRINT MEDIA EXPLORING PEACE FRAMING IN DAILY NATION AND BUSINESS RECORDER</b:Title>
    <b:JournalName>ASIAN JOURNAL OF SOCIAL SCIENCES &amp; HUMANITIES</b:JournalName>
    <b:Year>2012</b:Year>
    <b:Pages>12-18 </b:Pages>
    <b:RefOrder>14</b:RefOrder>
  </b:Source>
  <b:Source>
    <b:Tag>Sae12</b:Tag>
    <b:SourceType>JournalArticle</b:SourceType>
    <b:Guid>{A85E381A-A400-46A9-9426-349C60AAAE02}</b:Guid>
    <b:Author>
      <b:Author>
        <b:NameList>
          <b:Person>
            <b:Last>Sultana</b:Last>
            <b:First>Saeeda</b:First>
          </b:Person>
        </b:NameList>
      </b:Author>
    </b:Author>
    <b:Title>Pakistan: The Critical Battlefield of War on Terrorism</b:Title>
    <b:JournalName>Pakistan Journal of Social Sciences</b:JournalName>
    <b:Year>2012</b:Year>
    <b:RefOrder>15</b:RefOrder>
  </b:Source>
  <b:Source>
    <b:Tag>Hon21</b:Tag>
    <b:SourceType>Book</b:SourceType>
    <b:Guid>{7AC618AC-6594-4334-A7E2-F104B61D6B9A}</b:Guid>
    <b:Author>
      <b:Author>
        <b:Corporate>Hongfei Liu;Vignesh Yoganathan</b:Corporate>
      </b:Author>
    </b:Author>
    <b:Title>COVID-19 information overload and generation Z’s social media discontinuance intention during the pandemic lockdown  </b:Title>
    <b:Year>2021</b:Year>
    <b:City>China </b:City>
    <b:Publisher>Technological Forecasting &amp; Social Change</b:Publisher>
    <b:RefOrder>1</b:RefOrder>
  </b:Source>
  <b:Source>
    <b:Tag>Nas21</b:Tag>
    <b:SourceType>Book</b:SourceType>
    <b:Guid>{078103D4-7024-4D26-9793-F4B902D88A26}</b:Guid>
    <b:Author>
      <b:Author>
        <b:Corporate>Naseer Abbas Khan;Muhammad farrrukh Moin</b:Corporate>
      </b:Author>
    </b:Author>
    <b:Title>Self-regulation and social media addiction: A multi-wave data analysis </b:Title>
    <b:Year>2021</b:Year>
    <b:City>Russia</b:City>
    <b:Publisher>Technology in Society </b:Publisher>
    <b:RefOrder>2</b:RefOrder>
  </b:Source>
  <b:Source>
    <b:Tag>Nia19</b:Tag>
    <b:SourceType>Book</b:SourceType>
    <b:Guid>{DDE8AC05-AED1-456F-99E2-0F8959C4617B}</b:Guid>
    <b:Author>
      <b:Author>
        <b:Corporate>Niall McCrae;Betul Keles</b:Corporate>
      </b:Author>
    </b:Author>
    <b:Title>A systematic review: the influence of social media on depression,anxiety and psychological distress in adolescents </b:Title>
    <b:Year>2019</b:Year>
    <b:City>London, UK</b:City>
    <b:Publisher>INTERNATIONAL JOURNAL OF ADOLESCENCE AND YOUTH </b:Publisher>
    <b:RefOrder>3</b:RefOrder>
  </b:Source>
  <b:Source>
    <b:Tag>Rac19</b:Tag>
    <b:SourceType>Book</b:SourceType>
    <b:Guid>{FC0A8054-9033-4DA3-89A9-BDC42B079E9A}</b:Guid>
    <b:Author>
      <b:Author>
        <b:Corporate>Rachel F. McCloud;Mesfin A. Bekalu</b:Corporate>
      </b:Author>
    </b:Author>
    <b:Title>Association of Social Media Use With Social Well-Being, Positive Mental Health, and Self-Rated Health: Disentangling Routine Use From Emotional Connection </b:Title>
    <b:Year>2019</b:Year>
    <b:City>USA </b:City>
    <b:Publisher>Health Education &amp; Behavior 2019, Vol. 46(2S) 69S–80S </b:Publisher>
    <b:RefOrder>4</b:RefOrder>
  </b:Source>
  <b:Source>
    <b:Tag>Sam201</b:Tag>
    <b:SourceType>Book</b:SourceType>
    <b:Guid>{8AEF4620-62F8-4E95-A2E7-9B5847C0B603}</b:Guid>
    <b:Author>
      <b:Author>
        <b:Corporate>Samuli Laato,Erkki Sutinen</b:Corporate>
      </b:Author>
    </b:Author>
    <b:Title>Misinformation sharing and social media fatigue during COVID-19: An affordance and cognitive load perspective </b:Title>
    <b:Year>2020</b:Year>
    <b:City>Finland</b:City>
    <b:Publisher>Technological Forecasting &amp; Social Change</b:Publisher>
    <b:RefOrder>5</b:RefOrder>
  </b:Source>
  <b:Source>
    <b:Tag>Sit12</b:Tag>
    <b:SourceType>Book</b:SourceType>
    <b:Guid>{18BC4195-1892-49F1-9ABE-57417917ED70}</b:Guid>
    <b:Author>
      <b:Author>
        <b:Corporate>Siti Zabedah,Rohayu Kosmin</b:Corporate>
      </b:Author>
    </b:Author>
    <b:Title>Regulating Content in Broadcasting, Media and the Internet: A Case Study on Public Understanding of their Role on Self-Regulation </b:Title>
    <b:Year>2012</b:Year>
    <b:City>Malaysia</b:City>
    <b:Publisher>International Journal of Humanities and Social Science </b:Publisher>
    <b:RefOrder>6</b:RefOrder>
  </b:Source>
  <b:Source>
    <b:Tag>Sof19</b:Tag>
    <b:SourceType>Book</b:SourceType>
    <b:Guid>{6B93A056-33D7-40FC-8570-BF27CB3C96A5}</b:Guid>
    <b:Author>
      <b:Author>
        <b:Corporate>Sofia Ranchordás,Catalina Goanta</b:Corporate>
      </b:Author>
    </b:Author>
    <b:Title>The Regulation of Social Media Influencers: An Introduction</b:Title>
    <b:Year>2019</b:Year>
    <b:City>Netherland</b:City>
    <b:RefOrder>7</b:RefOrder>
  </b:Source>
  <b:Source>
    <b:Tag>All17</b:Tag>
    <b:SourceType>Book</b:SourceType>
    <b:Guid>{86E50E5A-816D-4652-8587-64B5554D59C4}</b:Guid>
    <b:Author>
      <b:Author>
        <b:Corporate>Allcott, Hunt &amp; Gentzkow</b:Corporate>
      </b:Author>
    </b:Author>
    <b:Title>Social Media and Fake News in the 2016 Election</b:Title>
    <b:Year>2017</b:Year>
    <b:City>New York</b:City>
    <b:Publisher>Journal of Economic Perspectives—Volume 31, Number 2—Spring 2017—Pages 211–236</b:Publisher>
    <b:RefOrder>8</b:RefOrder>
  </b:Source>
  <b:Source>
    <b:Tag>Chi18</b:Tag>
    <b:SourceType>Book</b:SourceType>
    <b:Guid>{CE04D133-28AE-498C-AC1D-5CA2DE833102}</b:Guid>
    <b:Title>Fake News and Advertising on Social Media: A Study of the Anti-Vaccination Movement</b:Title>
    <b:Year>2018</b:Year>
    <b:City>USA</b:City>
    <b:Author>
      <b:Author>
        <b:NameList>
          <b:Person>
            <b:Last>Chiou</b:Last>
            <b:First>Lesley</b:First>
            <b:Middle>Tucker</b:Middle>
          </b:Person>
        </b:NameList>
      </b:Author>
    </b:Author>
    <b:RefOrder>9</b:RefOrder>
  </b:Source>
  <b:Source>
    <b:Tag>Mei18</b:Tag>
    <b:SourceType>Book</b:SourceType>
    <b:Guid>{225BBE19-CC57-4EE2-B931-BE723959340F}</b:Guid>
    <b:Title>Is it Really Fake? – Towards an Understanding of Fake News in Social Media Communication.</b:Title>
    <b:Year>2018</b:Year>
    <b:City>Germany</b:City>
    <b:Author>
      <b:Author>
        <b:Corporate>Meinert, Judit</b:Corporate>
      </b:Author>
    </b:Author>
    <b:RefOrder>10</b:RefOrder>
  </b:Source>
  <b:Source>
    <b:Tag>Kar20</b:Tag>
    <b:SourceType>Book</b:SourceType>
    <b:Guid>{03A309A6-CF74-4B6A-8805-FD59B3E2F29D}</b:Guid>
    <b:Title>Evaluating the Impact of COVID-19 on Cyberbullying through Bayesian Trend Analysis</b:Title>
    <b:Year>2020</b:Year>
    <b:City>Florida</b:City>
    <b:Author>
      <b:Author>
        <b:Corporate>Karmakar, Sayar Das</b:Corporate>
      </b:Author>
    </b:Author>
    <b:RefOrder>11</b:RefOrder>
  </b:Source>
  <b:Source>
    <b:Tag>Toh05</b:Tag>
    <b:SourceType>Book</b:SourceType>
    <b:Guid>{AE1FED5A-2392-4302-999B-7F4708C3657F}</b:Guid>
    <b:Author>
      <b:Author>
        <b:Corporate>Toh Seong Chong</b:Corporate>
      </b:Author>
    </b:Author>
    <b:Title>Recent Advances in Cognitive Load Theory Research:  Implications for  Instructional Designers</b:Title>
    <b:Year>2005</b:Year>
    <b:City>Malaysia </b:City>
    <b:Publisher>Malaysian Online Journal of Instructional Technology (MOJIT)            </b:Publisher>
    <b:RefOrder>12</b:RefOrder>
  </b:Source>
  <b:Source>
    <b:Tag>Joh10</b:Tag>
    <b:SourceType>Book</b:SourceType>
    <b:Guid>{5BE120D5-FDE3-419E-97F1-99F068A90A21}</b:Guid>
    <b:Author>
      <b:Author>
        <b:Corporate>John Sweller</b:Corporate>
      </b:Author>
    </b:Author>
    <b:Title>Element Interactivity and Intrinsic, Extraneous, and Germane Cognitive Load</b:Title>
    <b:Year>2010</b:Year>
    <b:City>Australia</b:City>
    <b:Publisher>Educ Psychol Rev (2010) 22:123–138</b:Publisher>
    <b:RefOrder>13</b:RefOrder>
  </b:Source>
  <b:Source>
    <b:Tag>Sun20</b:Tag>
    <b:SourceType>Book</b:SourceType>
    <b:Guid>{49F6A84E-48DC-44E3-AB2D-A29631658F9F}</b:Guid>
    <b:Author>
      <b:Author>
        <b:Corporate>Sungjoon Yoo,Yiya Zhang</b:Corporate>
      </b:Author>
    </b:Author>
    <b:Title>Elaboration of Social Media Performance Measures: From the Perspective of Social Media Discontinuance Behavior</b:Title>
    <b:Year>2020</b:Year>
    <b:City>China</b:City>
    <b:Publisher>Sustainability 2020, 12, 7962; doi:10.3390/su12197962  </b:Publisher>
    <b:RefOrder>14</b:RefOrder>
  </b:Source>
  <b:Source>
    <b:Tag>Ama18</b:Tag>
    <b:SourceType>Book</b:SourceType>
    <b:Guid>{625FDEF6-49B3-4330-ABD3-6AA219812C64}</b:Guid>
    <b:Author>
      <b:Author>
        <b:Corporate>Amandeep Dhir, Sufen Chen</b:Corporate>
      </b:Author>
    </b:Author>
    <b:Title>Online social media fatigue and psychological wellbeing—A study of compulsive use, fear of missing out, fatigue, anxiety and depression</b:Title>
    <b:Year>2018</b:Year>
    <b:City>Vietnam</b:City>
    <b:Publisher>International Journal of Information Management</b:Publisher>
    <b:RefOrder>15</b:RefOrder>
  </b:Source>
  <b:Source>
    <b:Tag>Xio18</b:Tag>
    <b:SourceType>Book</b:SourceType>
    <b:Guid>{C943E5F0-C178-45BF-AA29-F24F13053D13}</b:Guid>
    <b:Author>
      <b:Author>
        <b:Corporate>Xiongfei Cao</b:Corporate>
      </b:Author>
    </b:Author>
    <b:Title>The Stimulators of Social Media Fatigue Among Students: Role of Moral Disengagement </b:Title>
    <b:Year>2018</b:Year>
    <b:City>China</b:City>
    <b:Publisher>Journal of Educational Computing Research</b:Publisher>
    <b:RefOrder>16</b:RefOrder>
  </b:Source>
  <b:Source>
    <b:Tag>Raj19</b:Tag>
    <b:SourceType>Book</b:SourceType>
    <b:Guid>{554B8D67-1CF1-466B-9CAB-800CDC9D8F3D}</b:Guid>
    <b:Author>
      <b:Author>
        <b:Corporate>Rajeev Kumar,Kishalay Adhikari </b:Corporate>
      </b:Author>
    </b:Author>
    <b:Title>Examining the Role of Social Networking Fatigue toward Discontinuance Intention: The Multigroup Effects of Gender and Age</b:Title>
    <b:Year>2019</b:Year>
    <b:City>India</b:City>
    <b:Publisher>Journal of Internet Commerce</b:Publisher>
    <b:RefOrder>17</b:RefOrder>
  </b:Source>
  <b:Source>
    <b:Tag>Jag20</b:Tag>
    <b:SourceType>Book</b:SourceType>
    <b:Guid>{3952067F-38F5-4DB4-96AB-01C360997F20}</b:Guid>
    <b:Author>
      <b:Author>
        <b:Corporate>Jagruti Varule</b:Corporate>
      </b:Author>
    </b:Author>
    <b:Title>Prediction of Cyberbullying Incident on Social Media Network</b:Title>
    <b:Year>2020</b:Year>
    <b:City>India</b:City>
    <b:Publisher>International Research Journal of Engineering and Technology (IRJET)</b:Publisher>
    <b:RefOrder>18</b:RefOrder>
  </b:Source>
  <b:Source>
    <b:Tag>EMV15</b:Tag>
    <b:SourceType>Book</b:SourceType>
    <b:Guid>{D4D29AFE-F683-4D0C-9798-A496E07686CB}</b:Guid>
    <b:Author>
      <b:Author>
        <b:Corporate>E. M. Vrieling,Uwe Matzat</b:Corporate>
      </b:Author>
    </b:Author>
    <b:Title>Self-regulated learning and social media – a ‘natural alliance’? Evidence on students’ self-regulation of learning, social media use, and student–teacher relationship </b:Title>
    <b:Year>2015</b:Year>
    <b:City>Netherlands</b:City>
    <b:Publisher>Learning Media and Technology</b:Publisher>
    <b:RefOrder>19</b:RefOrder>
  </b:Source>
  <b:Source>
    <b:Tag>Adi19</b:Tag>
    <b:SourceType>Book</b:SourceType>
    <b:Guid>{5C3BDB5D-A0DD-4ECD-9868-64BF03CC55A1}</b:Guid>
    <b:Author>
      <b:Author>
        <b:Corporate>Aditya Johri,Puneet Kaur</b:Corporate>
      </b:Author>
    </b:Author>
    <b:Title>Correlates of social media fatigue and academic performance decrement A large cross-sectional study </b:Title>
    <b:Year>2019</b:Year>
    <b:City>Finland</b:City>
    <b:Publisher>Information Technology &amp; People Vol. 34 No. 2, 2021 </b:Publisher>
    <b:RefOrder>20</b:RefOrder>
  </b:Source>
  <b:Source>
    <b:Tag>Cha17</b:Tag>
    <b:SourceType>Book</b:SourceType>
    <b:Guid>{13F301E0-6F98-4CE0-A552-86319641FFA1}</b:Guid>
    <b:Author>
      <b:Author>
        <b:Corporate>Chaeyoung Lim</b:Corporate>
      </b:Author>
    </b:Author>
    <b:Title>A Study on Social Overload in SNS: A Perspective of Reactance Theory </b:Title>
    <b:Year>2017</b:Year>
    <b:City>Japan </b:City>
    <b:Publisher>Twenty First Pacific Asia Conference on Information Systems, Langkawi 2017 </b:Publisher>
    <b:RefOrder>21</b:RefOrder>
  </b:Source>
  <b:Source>
    <b:Tag>Liu16</b:Tag>
    <b:SourceType>Book</b:SourceType>
    <b:Guid>{06FB8307-922A-4837-B33A-DFF27F243B80}</b:Guid>
    <b:Author>
      <b:Author>
        <b:Corporate>Liu yi Lin,Jason B. Colditz</b:Corporate>
      </b:Author>
    </b:Author>
    <b:Title>ASSOCIATION BETWEEN SOCIAL MEDIA USE AND DEPRESSION AMONG U.S. YOUNG ADULTS </b:Title>
    <b:Year>2016</b:Year>
    <b:City> Pennsylvania</b:City>
    <b:Publisher>Published online 19 January 2016 in Wiley Online Library</b:Publisher>
    <b:RefOrder>22</b:RefOrder>
  </b:Source>
  <b:Source>
    <b:Tag>Nid19</b:Tag>
    <b:SourceType>Book</b:SourceType>
    <b:Guid>{102DD587-EBF1-4D68-BB1D-3CF45688ADBA}</b:Guid>
    <b:Author>
      <b:Author>
        <b:Corporate>Nida Zafar,MelﬁAlrasheedy</b:Corporate>
      </b:Author>
    </b:Author>
    <b:Title>Why do people share fake news? Associations between the dark side of socialmedia use and fake news sharing behavior </b:Title>
    <b:Year>2019</b:Year>
    <b:City>India</b:City>
    <b:Publisher>Journal of Retailing and Consumer Services</b:Publisher>
    <b:RefOrder>23</b:RefOrder>
  </b:Source>
  <b:Source>
    <b:Tag>Xia191</b:Tag>
    <b:SourceType>Book</b:SourceType>
    <b:Guid>{00F5A815-B06F-4B74-9EAD-4841F5527AB6}</b:Guid>
    <b:Author>
      <b:Author>
        <b:Corporate>Xiaochun Xie,Wei Wang</b:Corporate>
      </b:Author>
    </b:Author>
    <b:Title>Cyber-bullying and depression among Chinese college students: A moderated mediation model of social anxiety and neuroticism </b:Title>
    <b:Year>2019</b:Year>
    <b:City>China</b:City>
    <b:Publisher>Journal of Affective Disorders 256</b:Publisher>
    <b:RefOrder>24</b:RefOrder>
  </b:Source>
  <b:Source>
    <b:Tag>Aru15</b:Tag>
    <b:SourceType>Book</b:SourceType>
    <b:Guid>{0985B46D-59B7-457B-BB98-29CF22CAF87C}</b:Guid>
    <b:Author>
      <b:Author>
        <b:Corporate>Arunditi Xantus</b:Corporate>
      </b:Author>
    </b:Author>
    <b:Title>The Relationship between Social Media Bullying and the Adolescent's Self Report of Emotional Health: A Study of Urban Youth on an Acute Inpatient Psychiatric Unit </b:Title>
    <b:Year>2015</b:Year>
    <b:City>USA</b:City>
    <b:Publisher>Journal of Depression and Anxiety </b:Publisher>
    <b:RefOrder>25</b:RefOrder>
  </b:Source>
  <b:Source>
    <b:Tag>Jam20</b:Tag>
    <b:SourceType>Book</b:SourceType>
    <b:Guid>{69B74F39-5826-49CA-9AB1-ACE487528A58}</b:Guid>
    <b:Author>
      <b:Author>
        <b:Corporate>James Thomas.Irene Kwan</b:Corporate>
      </b:Author>
    </b:Author>
    <b:Title>Cyberbullying and Children and Young People's Mental Health: A Systematic Map of Systematic Reviews </b:Title>
    <b:Year>2020</b:Year>
    <b:City>London</b:City>
    <b:Publisher>CYBERPSYCHOLOGY, BEHAVIOR, AND SOCIAL NETWORKING Volume 00, Number 00, 2020 </b:Publisher>
    <b:RefOrder>26</b:RefOrder>
  </b:Source>
  <b:Source>
    <b:Tag>Emi19</b:Tag>
    <b:SourceType>Book</b:SourceType>
    <b:Guid>{0A887F73-C555-4029-AA31-C565226F1363}</b:Guid>
    <b:Author>
      <b:Author>
        <b:Corporate>Emily Baker</b:Corporate>
      </b:Author>
    </b:Author>
    <b:Title>The Influences of Social Media: Depression, Anxiety, and Self-Concept</b:Title>
    <b:Year>2019</b:Year>
    <b:City>America</b:City>
    <b:RefOrder>27</b:RefOrder>
  </b:Source>
  <b:Source>
    <b:Tag>Kağ16</b:Tag>
    <b:SourceType>Book</b:SourceType>
    <b:Guid>{E9E2B8D6-B9D4-4B48-9508-AE228E324EA3}</b:Guid>
    <b:Author>
      <b:Author>
        <b:Corporate>Kağan Kırcaburun</b:Corporate>
      </b:Author>
    </b:Author>
    <b:Title>Self-Esteem, Daily Internet Use and Social Media Addiction as Predictors of Depression among Turkish Adolescents  </b:Title>
    <b:Year>2016</b:Year>
    <b:City>Turkey</b:City>
    <b:Publisher>Journal of Education and Practice</b:Publisher>
    <b:RefOrder>28</b:RefOrder>
  </b:Source>
  <b:Source>
    <b:Tag>Jar20</b:Tag>
    <b:SourceType>Book</b:SourceType>
    <b:Guid>{22642CC0-F9F0-49EF-9034-5BE358FFAC10}</b:Guid>
    <b:Author>
      <b:Author>
        <b:Corporate>Yossiri Yossatorn, Sufen Chen</b:Corporate>
      </b:Author>
    </b:Author>
    <b:Title>Sharing of fake news on social media: Application of the honeycomb framework and the third-person effect hypothesis</b:Title>
    <b:Year>2018</b:Year>
    <b:City>Vietnam</b:City>
    <b:Publisher>International Journal of Information Management</b:Publisher>
    <b:RefOrder>29</b:RefOrder>
  </b:Source>
  <b:Source>
    <b:Tag>Muh21</b:Tag>
    <b:SourceType>Book</b:SourceType>
    <b:Guid>{7CFE33E2-2A6A-4266-8D05-13A56F65527A}</b:Guid>
    <b:Author>
      <b:Author>
        <b:Corporate>farrrukh Moin,Naseer Abbas </b:Corporate>
      </b:Author>
    </b:Author>
    <b:Title>Self-regulation and social media addiction: A multi-wave data analysis</b:Title>
    <b:Year>2021</b:Year>
    <b:City>Russia</b:City>
    <b:Publisher>Technology in Society</b:Publisher>
    <b:RefOrder>30</b:RefOrder>
  </b:Source>
  <b:Source>
    <b:Tag>Gha19</b:Tag>
    <b:SourceType>Book</b:SourceType>
    <b:Guid>{6AD7A261-8F11-42AF-8BB9-FA2343744207}</b:Guid>
    <b:Author>
      <b:Author>
        <b:Corporate>Ghada M. Abaido</b:Corporate>
      </b:Author>
    </b:Author>
    <b:Title>Cyberbullying on social media platforms among university students in the United Arab Emirates</b:Title>
    <b:Year>2019</b:Year>
    <b:City>United Arab Emirates,</b:City>
    <b:Publisher>International Journal of Adolescence and Youth</b:Publisher>
    <b:RefOrder>31</b:RefOrder>
  </b:Source>
  <b:Source>
    <b:Tag>Vic21</b:Tag>
    <b:SourceType>Book</b:SourceType>
    <b:Guid>{8C625FCE-D150-4C99-8EBF-5341367116AD}</b:Guid>
    <b:Author>
      <b:Author>
        <b:Corporate>Victoria-Sophie ,Hongfei Liu</b:Corporate>
      </b:Author>
    </b:Author>
    <b:Title>COVID-19 information overload and generation Z’s social media discontinuance intention during the pandemic lockdown</b:Title>
    <b:Year>2021</b:Year>
    <b:City>United Kingdom</b:City>
    <b:Publisher>Technological Forecasting &amp; Social Change</b:Publisher>
    <b:RefOrder>32</b:RefOrder>
  </b:Source>
  <b:Source>
    <b:Tag>Bar15</b:Tag>
    <b:SourceType>JournalArticle</b:SourceType>
    <b:Guid>{2CFD5731-BA9A-4785-B35E-8C9A26C6B60C}</b:Guid>
    <b:Author>
      <b:Author>
        <b:NameList>
          <b:Person>
            <b:First>Barret</b:First>
          </b:Person>
          <b:Person>
            <b:First>Morgan</b:First>
          </b:Person>
        </b:NameList>
      </b:Author>
    </b:Author>
    <b:Title>College of management sciences</b:Title>
    <b:JournalName>Market Forces</b:JournalName>
    <b:Year>2015</b:Year>
    <b:RefOrder>34</b:RefOrder>
  </b:Source>
  <b:Source>
    <b:Tag>Eri09</b:Tag>
    <b:SourceType>Book</b:SourceType>
    <b:Guid>{E3B5570B-EDE5-4D93-8CBF-FD385E7F6187}</b:Guid>
    <b:Author>
      <b:Author>
        <b:Corporate>Lesley Chiou</b:Corporate>
      </b:Author>
    </b:Author>
    <b:Title>FAKE NEWS AND ADVERTISING ON SOCIAL MEDIA: A STUDY OF THE ANTI-VACCINATION MOVEMENT</b:Title>
    <b:Year>2018</b:Year>
    <b:JournalName>Management Research News</b:JournalName>
    <b:Pages>7-15</b:Pages>
    <b:City>USA</b:City>
    <b:RefOrder>33</b:RefOrder>
  </b:Source>
  <b:Source>
    <b:Tag>AKM20</b:Tag>
    <b:SourceType>Book</b:SourceType>
    <b:Guid>{D9243B25-E899-4940-A3F1-46A2D1E66319}</b:Guid>
    <b:Author>
      <b:Author>
        <b:Corporate>A.K.M. Najmul Islam</b:Corporate>
      </b:Author>
    </b:Author>
    <b:Title>Did location-based games motivate players to socialize during COVID-19? </b:Title>
    <b:Year>2020</b:Year>
    <b:City>Finland</b:City>
    <b:Publisher>Telematics and Informatics</b:Publisher>
    <b:RefOrder>35</b:RefOrder>
  </b:Source>
</b:Sources>
</file>

<file path=customXml/itemProps1.xml><?xml version="1.0" encoding="utf-8"?>
<ds:datastoreItem xmlns:ds="http://schemas.openxmlformats.org/officeDocument/2006/customXml" ds:itemID="{0EE82D95-969D-4513-B8F4-9994E6CF0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4287</TotalTime>
  <Pages>8</Pages>
  <Words>6896</Words>
  <Characters>39308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waleed john</dc:creator>
  <cp:keywords/>
  <dc:description/>
  <cp:lastModifiedBy>Snober</cp:lastModifiedBy>
  <cp:revision>49</cp:revision>
  <cp:lastPrinted>2023-11-02T16:26:00Z</cp:lastPrinted>
  <dcterms:created xsi:type="dcterms:W3CDTF">2023-08-19T03:40:00Z</dcterms:created>
  <dcterms:modified xsi:type="dcterms:W3CDTF">2023-11-05T16:06:00Z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y fmtid="{D5CDD505-2E9C-101B-9397-08002B2CF9AE}" pid="3" name="GrammarlyDocumentId">
    <vt:lpwstr>8598c767bfb9158199e542b3aed9b9c9492b9a0a391cf584f3faa8eec2938a2a</vt:lpwstr>
  </property>
</Properties>
</file>