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7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8"/>
        <w:gridCol w:w="6378"/>
        <w:gridCol w:w="1701"/>
      </w:tblGrid>
      <w:tr w:rsidR="00E95D3D" w:rsidRPr="00AC76B1" w14:paraId="69321903" w14:textId="77777777" w:rsidTr="000A2855">
        <w:trPr>
          <w:trHeight w:val="1440"/>
        </w:trPr>
        <w:tc>
          <w:tcPr>
            <w:tcW w:w="1668" w:type="dxa"/>
          </w:tcPr>
          <w:p w14:paraId="23C387AE" w14:textId="2A539E19" w:rsidR="00813116" w:rsidRPr="00E95D3D" w:rsidRDefault="00813116" w:rsidP="00DD7FB6">
            <w:pPr>
              <w:tabs>
                <w:tab w:val="left" w:pos="709"/>
                <w:tab w:val="left" w:pos="851"/>
              </w:tabs>
              <w:ind w:left="0" w:firstLine="0"/>
              <w:jc w:val="left"/>
              <w:rPr>
                <w:rFonts w:ascii="Verdana" w:hAnsi="Verdana" w:cstheme="minorBidi"/>
                <w:b/>
                <w:bCs/>
                <w:color w:val="auto"/>
                <w:sz w:val="2"/>
                <w:szCs w:val="2"/>
              </w:rPr>
            </w:pPr>
            <w:bookmarkStart w:id="0" w:name="_Toc493183239"/>
          </w:p>
          <w:p w14:paraId="0E99C11E" w14:textId="24E0B724" w:rsidR="00813116" w:rsidRPr="00E95D3D" w:rsidRDefault="00813116" w:rsidP="00DD7FB6">
            <w:pPr>
              <w:rPr>
                <w:rFonts w:ascii="Verdana" w:hAnsi="Verdana" w:cstheme="minorBidi"/>
                <w:color w:val="auto"/>
                <w:sz w:val="2"/>
                <w:szCs w:val="2"/>
              </w:rPr>
            </w:pPr>
          </w:p>
          <w:p w14:paraId="79D326D3" w14:textId="64E4E44F" w:rsidR="00813116" w:rsidRPr="00E95D3D" w:rsidRDefault="00813116" w:rsidP="00DD7FB6">
            <w:pPr>
              <w:rPr>
                <w:rFonts w:ascii="Verdana" w:hAnsi="Verdana" w:cstheme="minorBidi"/>
                <w:color w:val="auto"/>
                <w:sz w:val="2"/>
                <w:szCs w:val="2"/>
              </w:rPr>
            </w:pPr>
          </w:p>
          <w:p w14:paraId="7C970BEC" w14:textId="29CD88A2" w:rsidR="00813116" w:rsidRPr="00E95D3D" w:rsidRDefault="00813116" w:rsidP="00DD7FB6">
            <w:pPr>
              <w:rPr>
                <w:rFonts w:ascii="Verdana" w:hAnsi="Verdana" w:cstheme="minorBidi"/>
                <w:color w:val="auto"/>
                <w:sz w:val="2"/>
                <w:szCs w:val="2"/>
              </w:rPr>
            </w:pPr>
          </w:p>
          <w:p w14:paraId="32F6E424" w14:textId="0AF956D1" w:rsidR="00813116" w:rsidRPr="00E95D3D" w:rsidRDefault="00813116" w:rsidP="00DD7FB6">
            <w:pPr>
              <w:rPr>
                <w:rFonts w:ascii="Verdana" w:hAnsi="Verdana" w:cstheme="minorBidi"/>
                <w:color w:val="auto"/>
                <w:sz w:val="2"/>
                <w:szCs w:val="2"/>
              </w:rPr>
            </w:pPr>
          </w:p>
          <w:p w14:paraId="0BBBB859" w14:textId="782543D8" w:rsidR="00813116" w:rsidRPr="00E95D3D" w:rsidRDefault="00813116" w:rsidP="00DD7FB6">
            <w:pPr>
              <w:rPr>
                <w:rFonts w:ascii="Verdana" w:hAnsi="Verdana" w:cstheme="minorBidi"/>
                <w:color w:val="auto"/>
                <w:sz w:val="2"/>
                <w:szCs w:val="2"/>
              </w:rPr>
            </w:pPr>
          </w:p>
          <w:p w14:paraId="687459E0" w14:textId="32A59837" w:rsidR="00813116" w:rsidRPr="00AC76B1" w:rsidRDefault="00000000" w:rsidP="00DD7FB6">
            <w:pPr>
              <w:rPr>
                <w:rFonts w:ascii="Verdana" w:hAnsi="Verdana" w:cstheme="minorBidi"/>
                <w:color w:val="auto"/>
                <w:sz w:val="2"/>
                <w:szCs w:val="2"/>
              </w:rPr>
            </w:pPr>
            <w:r>
              <w:rPr>
                <w:noProof/>
                <w:color w:val="auto"/>
                <w:sz w:val="24"/>
                <w:szCs w:val="24"/>
              </w:rPr>
              <w:object w:dxaOrig="1440" w:dyaOrig="1440" w14:anchorId="41FD32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left:0;text-align:left;margin-left:-3.3pt;margin-top:3.45pt;width:79.5pt;height:43.5pt;z-index:-251657728">
                  <v:imagedata r:id="rId8" o:title=""/>
                </v:shape>
                <o:OLEObject Type="Embed" ProgID="PBrush" ShapeID="_x0000_s2064" DrawAspect="Content" ObjectID="_1765538031" r:id="rId9"/>
              </w:object>
            </w:r>
          </w:p>
          <w:p w14:paraId="312A5566" w14:textId="504999FE" w:rsidR="00813116" w:rsidRPr="00AC76B1" w:rsidRDefault="00813116" w:rsidP="00DD7FB6">
            <w:pPr>
              <w:rPr>
                <w:rFonts w:ascii="Verdana" w:hAnsi="Verdana" w:cstheme="minorBidi"/>
                <w:color w:val="auto"/>
                <w:sz w:val="2"/>
                <w:szCs w:val="2"/>
              </w:rPr>
            </w:pPr>
          </w:p>
          <w:p w14:paraId="687C8DD5" w14:textId="77777777" w:rsidR="00813116" w:rsidRPr="00AC76B1" w:rsidRDefault="00813116" w:rsidP="00DD7FB6">
            <w:pPr>
              <w:rPr>
                <w:rFonts w:ascii="Verdana" w:hAnsi="Verdana" w:cstheme="minorBidi"/>
                <w:color w:val="auto"/>
                <w:sz w:val="2"/>
                <w:szCs w:val="2"/>
              </w:rPr>
            </w:pPr>
          </w:p>
          <w:p w14:paraId="563759EE" w14:textId="77777777" w:rsidR="00813116" w:rsidRPr="00AC76B1" w:rsidRDefault="00813116" w:rsidP="00DD7FB6">
            <w:pPr>
              <w:rPr>
                <w:rFonts w:ascii="Verdana" w:hAnsi="Verdana" w:cstheme="minorBidi"/>
                <w:color w:val="auto"/>
                <w:sz w:val="2"/>
                <w:szCs w:val="2"/>
              </w:rPr>
            </w:pPr>
          </w:p>
          <w:p w14:paraId="25070A4F" w14:textId="77777777" w:rsidR="00813116" w:rsidRPr="00AC76B1" w:rsidRDefault="00813116" w:rsidP="00DD7FB6">
            <w:pPr>
              <w:rPr>
                <w:rFonts w:ascii="Verdana" w:hAnsi="Verdana" w:cstheme="minorBidi"/>
                <w:color w:val="auto"/>
                <w:sz w:val="2"/>
                <w:szCs w:val="2"/>
              </w:rPr>
            </w:pPr>
          </w:p>
          <w:p w14:paraId="568CFC0A" w14:textId="77777777" w:rsidR="00813116" w:rsidRPr="00AC76B1" w:rsidRDefault="00813116" w:rsidP="00DD7FB6">
            <w:pPr>
              <w:jc w:val="center"/>
              <w:rPr>
                <w:rFonts w:ascii="Verdana" w:hAnsi="Verdana" w:cstheme="minorBidi"/>
                <w:color w:val="auto"/>
                <w:sz w:val="2"/>
                <w:szCs w:val="2"/>
              </w:rPr>
            </w:pPr>
          </w:p>
          <w:p w14:paraId="200F7BB5" w14:textId="77777777" w:rsidR="00813116" w:rsidRPr="00AC76B1" w:rsidRDefault="00813116" w:rsidP="00DD7FB6">
            <w:pPr>
              <w:rPr>
                <w:rFonts w:ascii="Verdana" w:hAnsi="Verdana" w:cstheme="minorBidi"/>
                <w:color w:val="auto"/>
                <w:sz w:val="2"/>
                <w:szCs w:val="2"/>
              </w:rPr>
            </w:pPr>
          </w:p>
          <w:p w14:paraId="4428BCD3" w14:textId="77777777" w:rsidR="00813116" w:rsidRPr="00AC76B1" w:rsidRDefault="00813116" w:rsidP="00DD7FB6">
            <w:pPr>
              <w:rPr>
                <w:rFonts w:ascii="Verdana" w:hAnsi="Verdana" w:cstheme="minorBidi"/>
                <w:color w:val="auto"/>
                <w:sz w:val="2"/>
                <w:szCs w:val="2"/>
              </w:rPr>
            </w:pPr>
          </w:p>
          <w:p w14:paraId="6FF89AC5" w14:textId="77777777" w:rsidR="00813116" w:rsidRPr="00AC76B1" w:rsidRDefault="00813116" w:rsidP="00DD7FB6">
            <w:pPr>
              <w:rPr>
                <w:rFonts w:ascii="Verdana" w:hAnsi="Verdana" w:cstheme="minorBidi"/>
                <w:color w:val="auto"/>
                <w:sz w:val="2"/>
                <w:szCs w:val="2"/>
              </w:rPr>
            </w:pPr>
          </w:p>
          <w:p w14:paraId="20243602" w14:textId="77777777" w:rsidR="00813116" w:rsidRPr="00AC76B1" w:rsidRDefault="00813116" w:rsidP="00DD7FB6">
            <w:pPr>
              <w:rPr>
                <w:rFonts w:ascii="Verdana" w:hAnsi="Verdana" w:cstheme="minorBidi"/>
                <w:color w:val="auto"/>
                <w:sz w:val="2"/>
                <w:szCs w:val="2"/>
              </w:rPr>
            </w:pPr>
          </w:p>
          <w:p w14:paraId="39396145" w14:textId="2F566317" w:rsidR="00B001F0" w:rsidRPr="00AC76B1" w:rsidRDefault="00B001F0" w:rsidP="00DD7FB6">
            <w:pPr>
              <w:rPr>
                <w:rFonts w:ascii="Verdana" w:hAnsi="Verdana" w:cstheme="minorBidi"/>
                <w:color w:val="auto"/>
                <w:sz w:val="2"/>
                <w:szCs w:val="2"/>
              </w:rPr>
            </w:pPr>
          </w:p>
        </w:tc>
        <w:tc>
          <w:tcPr>
            <w:tcW w:w="6378" w:type="dxa"/>
          </w:tcPr>
          <w:p w14:paraId="4B109709" w14:textId="77777777" w:rsidR="004D2B4D" w:rsidRPr="00AC76B1" w:rsidRDefault="004D2B4D" w:rsidP="004D2B4D">
            <w:pPr>
              <w:tabs>
                <w:tab w:val="left" w:pos="709"/>
                <w:tab w:val="left" w:pos="851"/>
              </w:tabs>
              <w:ind w:left="0" w:firstLine="0"/>
              <w:jc w:val="center"/>
              <w:rPr>
                <w:rFonts w:ascii="Verdana" w:hAnsi="Verdana" w:cstheme="minorBidi"/>
                <w:b/>
                <w:bCs/>
                <w:color w:val="385623" w:themeColor="accent6" w:themeShade="80"/>
                <w:sz w:val="21"/>
                <w:szCs w:val="21"/>
              </w:rPr>
            </w:pPr>
            <w:proofErr w:type="spellStart"/>
            <w:r w:rsidRPr="00AC76B1">
              <w:rPr>
                <w:rFonts w:ascii="Verdana" w:hAnsi="Verdana" w:cstheme="minorBidi"/>
                <w:b/>
                <w:bCs/>
                <w:i/>
                <w:iCs/>
                <w:color w:val="385623" w:themeColor="accent6" w:themeShade="80"/>
                <w:sz w:val="21"/>
                <w:szCs w:val="21"/>
              </w:rPr>
              <w:t>i</w:t>
            </w:r>
            <w:r w:rsidRPr="00AC76B1">
              <w:rPr>
                <w:rFonts w:ascii="Verdana" w:hAnsi="Verdana" w:cstheme="minorBidi"/>
                <w:b/>
                <w:bCs/>
                <w:color w:val="385623" w:themeColor="accent6" w:themeShade="80"/>
                <w:sz w:val="21"/>
                <w:szCs w:val="21"/>
              </w:rPr>
              <w:t>RASD</w:t>
            </w:r>
            <w:proofErr w:type="spellEnd"/>
            <w:r w:rsidRPr="00AC76B1">
              <w:rPr>
                <w:rFonts w:ascii="Verdana" w:hAnsi="Verdana" w:cstheme="minorBidi"/>
                <w:b/>
                <w:bCs/>
                <w:color w:val="385623" w:themeColor="accent6" w:themeShade="80"/>
                <w:sz w:val="21"/>
                <w:szCs w:val="21"/>
              </w:rPr>
              <w:t xml:space="preserve"> Journal of Economics</w:t>
            </w:r>
          </w:p>
          <w:p w14:paraId="567F12FA" w14:textId="77777777" w:rsidR="004D2B4D" w:rsidRPr="00AC76B1" w:rsidRDefault="004D2B4D" w:rsidP="004D2B4D">
            <w:pPr>
              <w:tabs>
                <w:tab w:val="left" w:pos="709"/>
                <w:tab w:val="left" w:pos="851"/>
              </w:tabs>
              <w:ind w:left="0" w:firstLine="0"/>
              <w:jc w:val="center"/>
              <w:rPr>
                <w:rFonts w:ascii="Verdana" w:hAnsi="Verdana" w:cstheme="minorBidi"/>
                <w:b/>
                <w:bCs/>
                <w:color w:val="385623" w:themeColor="accent6" w:themeShade="80"/>
                <w:sz w:val="20"/>
                <w:szCs w:val="10"/>
              </w:rPr>
            </w:pPr>
          </w:p>
          <w:p w14:paraId="6F6474FC" w14:textId="4288058D" w:rsidR="00B001F0" w:rsidRPr="00AC76B1" w:rsidRDefault="004D2B4D" w:rsidP="004D2B4D">
            <w:pPr>
              <w:tabs>
                <w:tab w:val="left" w:pos="709"/>
                <w:tab w:val="left" w:pos="851"/>
              </w:tabs>
              <w:ind w:left="0" w:firstLine="0"/>
              <w:jc w:val="center"/>
              <w:rPr>
                <w:rFonts w:ascii="Verdana" w:hAnsi="Verdana" w:cstheme="minorBidi"/>
                <w:b/>
                <w:bCs/>
                <w:color w:val="auto"/>
                <w:sz w:val="18"/>
                <w:szCs w:val="18"/>
              </w:rPr>
            </w:pPr>
            <w:r w:rsidRPr="00AC76B1">
              <w:rPr>
                <w:rFonts w:ascii="Verdana" w:hAnsi="Verdana" w:cstheme="minorBidi"/>
                <w:b/>
                <w:bCs/>
                <w:color w:val="385623" w:themeColor="accent6" w:themeShade="80"/>
                <w:sz w:val="18"/>
                <w:szCs w:val="18"/>
              </w:rPr>
              <w:t xml:space="preserve">Volume </w:t>
            </w:r>
            <w:r w:rsidR="009E0BC1" w:rsidRPr="00AC76B1">
              <w:rPr>
                <w:rFonts w:ascii="Verdana" w:hAnsi="Verdana" w:cstheme="minorBidi"/>
                <w:b/>
                <w:bCs/>
                <w:color w:val="385623" w:themeColor="accent6" w:themeShade="80"/>
                <w:sz w:val="18"/>
                <w:szCs w:val="18"/>
              </w:rPr>
              <w:t>5</w:t>
            </w:r>
            <w:r w:rsidRPr="00AC76B1">
              <w:rPr>
                <w:rFonts w:ascii="Verdana" w:hAnsi="Verdana" w:cstheme="minorBidi"/>
                <w:b/>
                <w:bCs/>
                <w:color w:val="385623" w:themeColor="accent6" w:themeShade="80"/>
                <w:sz w:val="18"/>
                <w:szCs w:val="18"/>
              </w:rPr>
              <w:t xml:space="preserve">, Number </w:t>
            </w:r>
            <w:r w:rsidR="00744DFD">
              <w:rPr>
                <w:rFonts w:ascii="Verdana" w:hAnsi="Verdana" w:cstheme="minorBidi"/>
                <w:b/>
                <w:bCs/>
                <w:color w:val="385623" w:themeColor="accent6" w:themeShade="80"/>
                <w:sz w:val="18"/>
                <w:szCs w:val="18"/>
              </w:rPr>
              <w:t>3</w:t>
            </w:r>
            <w:r w:rsidRPr="00AC76B1">
              <w:rPr>
                <w:rFonts w:ascii="Verdana" w:hAnsi="Verdana" w:cstheme="minorBidi"/>
                <w:b/>
                <w:bCs/>
                <w:color w:val="385623" w:themeColor="accent6" w:themeShade="80"/>
                <w:sz w:val="18"/>
                <w:szCs w:val="18"/>
              </w:rPr>
              <w:t>, 202</w:t>
            </w:r>
            <w:r w:rsidR="009E0BC1" w:rsidRPr="00AC76B1">
              <w:rPr>
                <w:rFonts w:ascii="Verdana" w:hAnsi="Verdana" w:cstheme="minorBidi"/>
                <w:b/>
                <w:bCs/>
                <w:color w:val="385623" w:themeColor="accent6" w:themeShade="80"/>
                <w:sz w:val="18"/>
                <w:szCs w:val="18"/>
              </w:rPr>
              <w:t>3</w:t>
            </w:r>
            <w:r w:rsidRPr="00AC76B1">
              <w:rPr>
                <w:rFonts w:ascii="Verdana" w:hAnsi="Verdana" w:cstheme="minorBidi"/>
                <w:b/>
                <w:bCs/>
                <w:color w:val="385623" w:themeColor="accent6" w:themeShade="80"/>
                <w:sz w:val="18"/>
                <w:szCs w:val="18"/>
              </w:rPr>
              <w:t xml:space="preserve">, Pages </w:t>
            </w:r>
            <w:r w:rsidR="00826FE5">
              <w:rPr>
                <w:rFonts w:ascii="Verdana" w:hAnsi="Verdana" w:cstheme="minorBidi"/>
                <w:b/>
                <w:bCs/>
                <w:color w:val="385623" w:themeColor="accent6" w:themeShade="80"/>
                <w:sz w:val="18"/>
                <w:szCs w:val="18"/>
              </w:rPr>
              <w:t>7</w:t>
            </w:r>
            <w:r w:rsidR="00B2032E">
              <w:rPr>
                <w:rFonts w:ascii="Verdana" w:hAnsi="Verdana" w:cstheme="minorBidi"/>
                <w:b/>
                <w:bCs/>
                <w:color w:val="385623" w:themeColor="accent6" w:themeShade="80"/>
                <w:sz w:val="18"/>
                <w:szCs w:val="18"/>
              </w:rPr>
              <w:t>94</w:t>
            </w:r>
            <w:r w:rsidRPr="002266B4">
              <w:rPr>
                <w:rFonts w:ascii="Verdana" w:hAnsi="Verdana" w:cstheme="minorBidi"/>
                <w:b/>
                <w:bCs/>
                <w:color w:val="385623" w:themeColor="accent6" w:themeShade="80"/>
                <w:sz w:val="18"/>
                <w:szCs w:val="18"/>
              </w:rPr>
              <w:t xml:space="preserve"> – </w:t>
            </w:r>
            <w:r w:rsidR="00AB0A13">
              <w:rPr>
                <w:rFonts w:ascii="Verdana" w:hAnsi="Verdana" w:cstheme="minorBidi"/>
                <w:b/>
                <w:bCs/>
                <w:color w:val="385623" w:themeColor="accent6" w:themeShade="80"/>
                <w:sz w:val="18"/>
                <w:szCs w:val="18"/>
              </w:rPr>
              <w:t>811</w:t>
            </w:r>
          </w:p>
          <w:p w14:paraId="7BE8D4DD" w14:textId="77777777" w:rsidR="00B001F0" w:rsidRPr="00AC76B1" w:rsidRDefault="00B001F0" w:rsidP="00DD7FB6">
            <w:pPr>
              <w:tabs>
                <w:tab w:val="left" w:pos="709"/>
                <w:tab w:val="left" w:pos="851"/>
              </w:tabs>
              <w:ind w:left="0" w:firstLine="0"/>
              <w:jc w:val="center"/>
              <w:rPr>
                <w:rFonts w:ascii="Verdana" w:hAnsi="Verdana" w:cstheme="minorBidi"/>
                <w:b/>
                <w:bCs/>
                <w:color w:val="auto"/>
                <w:sz w:val="18"/>
                <w:szCs w:val="10"/>
              </w:rPr>
            </w:pPr>
          </w:p>
          <w:p w14:paraId="0A092BD2" w14:textId="48701CAB" w:rsidR="007A66B6" w:rsidRPr="00AC76B1" w:rsidRDefault="00B001F0" w:rsidP="004D2B4D">
            <w:pPr>
              <w:tabs>
                <w:tab w:val="left" w:pos="709"/>
                <w:tab w:val="left" w:pos="851"/>
              </w:tabs>
              <w:ind w:left="0" w:firstLine="0"/>
              <w:jc w:val="center"/>
              <w:rPr>
                <w:rFonts w:ascii="Verdana" w:hAnsi="Verdana" w:cstheme="minorBidi"/>
                <w:b/>
                <w:bCs/>
                <w:color w:val="385623" w:themeColor="accent6" w:themeShade="80"/>
                <w:sz w:val="18"/>
                <w:szCs w:val="18"/>
              </w:rPr>
            </w:pPr>
            <w:r w:rsidRPr="00AC76B1">
              <w:rPr>
                <w:rFonts w:ascii="Verdana" w:hAnsi="Verdana" w:cstheme="minorBidi"/>
                <w:b/>
                <w:bCs/>
                <w:color w:val="385623" w:themeColor="accent6" w:themeShade="80"/>
                <w:sz w:val="18"/>
                <w:szCs w:val="18"/>
              </w:rPr>
              <w:t>Journal Home</w:t>
            </w:r>
            <w:r w:rsidR="007A66B6" w:rsidRPr="00AC76B1">
              <w:rPr>
                <w:rFonts w:ascii="Verdana" w:hAnsi="Verdana" w:cstheme="minorBidi"/>
                <w:b/>
                <w:bCs/>
                <w:color w:val="385623" w:themeColor="accent6" w:themeShade="80"/>
                <w:sz w:val="18"/>
                <w:szCs w:val="18"/>
              </w:rPr>
              <w:t xml:space="preserve"> P</w:t>
            </w:r>
            <w:r w:rsidRPr="00AC76B1">
              <w:rPr>
                <w:rFonts w:ascii="Verdana" w:hAnsi="Verdana" w:cstheme="minorBidi"/>
                <w:b/>
                <w:bCs/>
                <w:color w:val="385623" w:themeColor="accent6" w:themeShade="80"/>
                <w:sz w:val="18"/>
                <w:szCs w:val="18"/>
              </w:rPr>
              <w:t>age:</w:t>
            </w:r>
          </w:p>
          <w:p w14:paraId="2E3B2317" w14:textId="77777777" w:rsidR="00B001F0" w:rsidRPr="00AC76B1" w:rsidRDefault="00000000" w:rsidP="004D2B4D">
            <w:pPr>
              <w:tabs>
                <w:tab w:val="left" w:pos="709"/>
                <w:tab w:val="left" w:pos="851"/>
              </w:tabs>
              <w:ind w:left="-600" w:firstLine="0"/>
              <w:jc w:val="center"/>
              <w:rPr>
                <w:rFonts w:ascii="Verdana" w:hAnsi="Verdana" w:cstheme="minorBidi"/>
                <w:b/>
                <w:bCs/>
                <w:color w:val="auto"/>
              </w:rPr>
            </w:pPr>
            <w:hyperlink r:id="rId10" w:history="1">
              <w:r w:rsidR="004D2B4D" w:rsidRPr="00AC76B1">
                <w:rPr>
                  <w:rStyle w:val="Hyperlink"/>
                  <w:rFonts w:ascii="Verdana" w:hAnsi="Verdana" w:cstheme="minorBidi"/>
                  <w:b/>
                  <w:bCs/>
                  <w:sz w:val="18"/>
                  <w:szCs w:val="18"/>
                </w:rPr>
                <w:t>https://journals.internationalrasd.org/index.php/joe</w:t>
              </w:r>
            </w:hyperlink>
          </w:p>
        </w:tc>
        <w:tc>
          <w:tcPr>
            <w:tcW w:w="1701" w:type="dxa"/>
          </w:tcPr>
          <w:p w14:paraId="2DBDE620" w14:textId="77777777" w:rsidR="00B001F0" w:rsidRPr="00AC76B1" w:rsidRDefault="00E21425" w:rsidP="00DD7FB6">
            <w:pPr>
              <w:tabs>
                <w:tab w:val="left" w:pos="709"/>
                <w:tab w:val="left" w:pos="851"/>
              </w:tabs>
              <w:ind w:left="0" w:firstLine="0"/>
              <w:jc w:val="right"/>
              <w:rPr>
                <w:rFonts w:ascii="Verdana" w:hAnsi="Verdana" w:cstheme="minorBidi"/>
                <w:b/>
                <w:bCs/>
                <w:color w:val="auto"/>
                <w:szCs w:val="14"/>
              </w:rPr>
            </w:pPr>
            <w:r w:rsidRPr="00AC76B1">
              <w:rPr>
                <w:noProof/>
                <w:color w:val="auto"/>
              </w:rPr>
              <w:drawing>
                <wp:anchor distT="0" distB="0" distL="114300" distR="114300" simplePos="0" relativeHeight="251657728" behindDoc="1" locked="0" layoutInCell="1" allowOverlap="1" wp14:anchorId="7B6E1E82" wp14:editId="6142701E">
                  <wp:simplePos x="0" y="0"/>
                  <wp:positionH relativeFrom="column">
                    <wp:posOffset>-19050</wp:posOffset>
                  </wp:positionH>
                  <wp:positionV relativeFrom="paragraph">
                    <wp:posOffset>24130</wp:posOffset>
                  </wp:positionV>
                  <wp:extent cx="1006475" cy="8382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06475" cy="838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41F67B8E" w14:textId="0DE0C79F" w:rsidR="006F36C5" w:rsidRDefault="00ED1D98" w:rsidP="002E74F7">
      <w:pPr>
        <w:ind w:left="0" w:firstLine="0"/>
        <w:jc w:val="center"/>
        <w:rPr>
          <w:rFonts w:ascii="Verdana" w:hAnsi="Verdana" w:cstheme="minorBidi"/>
          <w:b/>
          <w:bCs/>
          <w:color w:val="auto"/>
          <w:szCs w:val="22"/>
        </w:rPr>
      </w:pPr>
      <w:bookmarkStart w:id="1" w:name="_Hlk483069202"/>
      <w:bookmarkEnd w:id="0"/>
      <w:r w:rsidRPr="00ED1D98">
        <w:rPr>
          <w:rFonts w:ascii="Verdana" w:hAnsi="Verdana" w:cstheme="minorBidi"/>
          <w:b/>
          <w:bCs/>
          <w:color w:val="auto"/>
          <w:szCs w:val="22"/>
        </w:rPr>
        <w:t>The Effect of Demographic Characteristics and Personality Traits on Financial Risk Tolerance. A Case Study of Lower Dir</w:t>
      </w:r>
    </w:p>
    <w:p w14:paraId="27EECCE8" w14:textId="6DDB1ACC" w:rsidR="006F36C5" w:rsidRPr="00AC76B1" w:rsidRDefault="00851BC4" w:rsidP="00BC4FA3">
      <w:pPr>
        <w:spacing w:before="120" w:after="120"/>
        <w:ind w:left="0" w:firstLine="0"/>
        <w:jc w:val="left"/>
        <w:rPr>
          <w:rFonts w:ascii="Verdana" w:hAnsi="Verdana" w:cstheme="minorBidi"/>
          <w:iCs/>
          <w:color w:val="auto"/>
          <w:sz w:val="20"/>
          <w:szCs w:val="20"/>
        </w:rPr>
      </w:pPr>
      <w:bookmarkStart w:id="2" w:name="_Hlk130688797"/>
      <w:bookmarkStart w:id="3" w:name="_Hlk106244005"/>
      <w:r w:rsidRPr="00851BC4">
        <w:rPr>
          <w:rFonts w:ascii="Verdana" w:hAnsi="Verdana" w:cstheme="minorBidi"/>
          <w:iCs/>
          <w:color w:val="auto"/>
          <w:sz w:val="20"/>
          <w:szCs w:val="20"/>
        </w:rPr>
        <w:t>Waqar</w:t>
      </w:r>
      <w:r w:rsidR="00691D42" w:rsidRPr="00AC76B1">
        <w:rPr>
          <w:rFonts w:ascii="Verdana" w:hAnsi="Verdana" w:cstheme="minorBidi"/>
          <w:iCs/>
          <w:color w:val="auto"/>
          <w:sz w:val="20"/>
          <w:szCs w:val="20"/>
          <w:vertAlign w:val="superscript"/>
        </w:rPr>
        <w:t>1</w:t>
      </w:r>
      <w:r w:rsidR="00691D42" w:rsidRPr="00AC76B1">
        <w:rPr>
          <w:rFonts w:ascii="Verdana" w:hAnsi="Verdana" w:cstheme="minorBidi"/>
          <w:iCs/>
          <w:color w:val="auto"/>
          <w:sz w:val="20"/>
          <w:szCs w:val="20"/>
        </w:rPr>
        <w:t xml:space="preserve">, </w:t>
      </w:r>
      <w:bookmarkEnd w:id="2"/>
      <w:proofErr w:type="spellStart"/>
      <w:r w:rsidR="00214EF5" w:rsidRPr="00214EF5">
        <w:rPr>
          <w:rFonts w:ascii="Verdana" w:hAnsi="Verdana" w:cstheme="minorBidi"/>
          <w:iCs/>
          <w:color w:val="auto"/>
          <w:sz w:val="20"/>
          <w:szCs w:val="20"/>
        </w:rPr>
        <w:t>Mukamil</w:t>
      </w:r>
      <w:proofErr w:type="spellEnd"/>
      <w:r w:rsidR="00214EF5" w:rsidRPr="00214EF5">
        <w:rPr>
          <w:rFonts w:ascii="Verdana" w:hAnsi="Verdana" w:cstheme="minorBidi"/>
          <w:iCs/>
          <w:color w:val="auto"/>
          <w:sz w:val="20"/>
          <w:szCs w:val="20"/>
        </w:rPr>
        <w:t xml:space="preserve"> Shah</w:t>
      </w:r>
      <w:r w:rsidR="00161F28">
        <w:rPr>
          <w:rFonts w:ascii="Verdana" w:hAnsi="Verdana" w:cstheme="minorBidi"/>
          <w:iCs/>
          <w:color w:val="auto"/>
          <w:sz w:val="20"/>
          <w:szCs w:val="20"/>
          <w:vertAlign w:val="superscript"/>
        </w:rPr>
        <w:t>2</w:t>
      </w:r>
      <w:r w:rsidR="00EA70D1" w:rsidRPr="00AC76B1">
        <w:rPr>
          <w:rFonts w:ascii="Verdana" w:hAnsi="Verdana" w:cstheme="minorBidi"/>
          <w:iCs/>
          <w:noProof/>
          <w:color w:val="auto"/>
          <w:sz w:val="20"/>
          <w:szCs w:val="20"/>
        </w:rPr>
        <w:drawing>
          <wp:inline distT="0" distB="0" distL="0" distR="0" wp14:anchorId="636BF1B7" wp14:editId="3F24E381">
            <wp:extent cx="146304" cy="146304"/>
            <wp:effectExtent l="0" t="0" r="0" b="0"/>
            <wp:docPr id="1933463335" name="Picture 193346333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463335" name="Picture 1933463335">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6304" cy="146304"/>
                    </a:xfrm>
                    <a:prstGeom prst="rect">
                      <a:avLst/>
                    </a:prstGeom>
                  </pic:spPr>
                </pic:pic>
              </a:graphicData>
            </a:graphic>
          </wp:inline>
        </w:drawing>
      </w:r>
      <w:r w:rsidR="00AC08E2" w:rsidRPr="00AC76B1">
        <w:rPr>
          <w:rFonts w:ascii="Verdana" w:hAnsi="Verdana" w:cstheme="minorBidi"/>
          <w:iCs/>
          <w:color w:val="auto"/>
          <w:sz w:val="20"/>
          <w:szCs w:val="20"/>
        </w:rPr>
        <w:t xml:space="preserve">, </w:t>
      </w:r>
      <w:r w:rsidR="00374FF4" w:rsidRPr="00374FF4">
        <w:rPr>
          <w:rFonts w:ascii="Verdana" w:hAnsi="Verdana" w:cstheme="minorBidi"/>
          <w:iCs/>
          <w:color w:val="auto"/>
          <w:sz w:val="20"/>
          <w:szCs w:val="20"/>
        </w:rPr>
        <w:t>Manzar Zia</w:t>
      </w:r>
      <w:r w:rsidR="00E6091F">
        <w:rPr>
          <w:rFonts w:ascii="Verdana" w:hAnsi="Verdana" w:cstheme="minorBidi"/>
          <w:iCs/>
          <w:color w:val="auto"/>
          <w:sz w:val="20"/>
          <w:szCs w:val="20"/>
          <w:vertAlign w:val="superscript"/>
        </w:rPr>
        <w:t>3</w:t>
      </w:r>
    </w:p>
    <w:bookmarkEnd w:id="3"/>
    <w:p w14:paraId="4434646E" w14:textId="15BA4180" w:rsidR="00BF29F0" w:rsidRPr="00AC76B1" w:rsidRDefault="00BF29F0" w:rsidP="00AA5CDD">
      <w:pPr>
        <w:pStyle w:val="FootnoteText"/>
        <w:ind w:left="90" w:hanging="90"/>
        <w:jc w:val="left"/>
        <w:rPr>
          <w:rFonts w:ascii="Verdana" w:eastAsiaTheme="minorEastAsia" w:hAnsi="Verdana" w:cstheme="minorBidi"/>
          <w:sz w:val="16"/>
          <w:szCs w:val="16"/>
          <w:lang w:val="en-US"/>
        </w:rPr>
      </w:pPr>
      <w:r w:rsidRPr="00AC76B1">
        <w:rPr>
          <w:rFonts w:ascii="Verdana" w:eastAsiaTheme="minorEastAsia" w:hAnsi="Verdana" w:cstheme="minorBidi"/>
          <w:sz w:val="16"/>
          <w:szCs w:val="16"/>
          <w:vertAlign w:val="superscript"/>
          <w:lang w:val="en-US"/>
        </w:rPr>
        <w:t>1</w:t>
      </w:r>
      <w:r w:rsidRPr="00AC76B1">
        <w:t xml:space="preserve"> </w:t>
      </w:r>
      <w:r w:rsidR="00374FF4">
        <w:rPr>
          <w:rFonts w:ascii="Verdana" w:eastAsiaTheme="minorEastAsia" w:hAnsi="Verdana" w:cstheme="minorBidi"/>
          <w:sz w:val="16"/>
          <w:szCs w:val="16"/>
          <w:lang w:val="en-US"/>
        </w:rPr>
        <w:t>MS Scholar, I</w:t>
      </w:r>
      <w:r w:rsidR="00374FF4" w:rsidRPr="00374FF4">
        <w:rPr>
          <w:rFonts w:ascii="Verdana" w:eastAsiaTheme="minorEastAsia" w:hAnsi="Verdana" w:cstheme="minorBidi"/>
          <w:sz w:val="16"/>
          <w:szCs w:val="16"/>
          <w:lang w:val="en-US"/>
        </w:rPr>
        <w:t>nstitute of Management Sciences Peshawar</w:t>
      </w:r>
      <w:r w:rsidR="00374FF4">
        <w:rPr>
          <w:rFonts w:ascii="Verdana" w:eastAsiaTheme="minorEastAsia" w:hAnsi="Verdana" w:cstheme="minorBidi"/>
          <w:sz w:val="16"/>
          <w:szCs w:val="16"/>
          <w:lang w:val="en-US"/>
        </w:rPr>
        <w:t>, Pakistan</w:t>
      </w:r>
      <w:r w:rsidR="005715D6">
        <w:rPr>
          <w:rFonts w:ascii="Verdana" w:eastAsiaTheme="minorEastAsia" w:hAnsi="Verdana" w:cstheme="minorBidi"/>
          <w:sz w:val="16"/>
          <w:szCs w:val="16"/>
          <w:lang w:val="en-US"/>
        </w:rPr>
        <w:t xml:space="preserve">. </w:t>
      </w:r>
      <w:r w:rsidR="00E42131" w:rsidRPr="00AC76B1">
        <w:rPr>
          <w:rFonts w:ascii="Verdana" w:eastAsiaTheme="minorEastAsia" w:hAnsi="Verdana" w:cstheme="minorBidi"/>
          <w:sz w:val="16"/>
          <w:szCs w:val="16"/>
          <w:lang w:val="en-US"/>
        </w:rPr>
        <w:t xml:space="preserve">Email: </w:t>
      </w:r>
      <w:r w:rsidR="00010BB6" w:rsidRPr="00010BB6">
        <w:rPr>
          <w:rFonts w:ascii="Verdana" w:eastAsiaTheme="minorEastAsia" w:hAnsi="Verdana" w:cstheme="minorBidi"/>
          <w:sz w:val="16"/>
          <w:szCs w:val="16"/>
          <w:lang w:val="en-US"/>
        </w:rPr>
        <w:t>waqarahmadarif@gmail.com</w:t>
      </w:r>
    </w:p>
    <w:p w14:paraId="128FF6FB" w14:textId="5E58688C" w:rsidR="00512797" w:rsidRDefault="00161F28" w:rsidP="008763D0">
      <w:pPr>
        <w:pStyle w:val="FootnoteText"/>
        <w:ind w:left="90" w:hanging="90"/>
        <w:jc w:val="left"/>
        <w:rPr>
          <w:rFonts w:ascii="Verdana" w:eastAsiaTheme="minorEastAsia" w:hAnsi="Verdana" w:cstheme="minorBidi"/>
          <w:sz w:val="16"/>
          <w:szCs w:val="16"/>
          <w:lang w:val="en-US"/>
        </w:rPr>
      </w:pPr>
      <w:r>
        <w:rPr>
          <w:rFonts w:ascii="Verdana" w:eastAsiaTheme="minorEastAsia" w:hAnsi="Verdana" w:cstheme="minorBidi"/>
          <w:sz w:val="16"/>
          <w:szCs w:val="16"/>
          <w:vertAlign w:val="superscript"/>
          <w:lang w:val="en-US"/>
        </w:rPr>
        <w:t>2</w:t>
      </w:r>
      <w:r w:rsidRPr="00AC76B1">
        <w:t xml:space="preserve"> </w:t>
      </w:r>
      <w:r w:rsidR="002769C0">
        <w:rPr>
          <w:rFonts w:ascii="Verdana" w:eastAsiaTheme="minorEastAsia" w:hAnsi="Verdana" w:cstheme="minorBidi"/>
          <w:sz w:val="16"/>
          <w:szCs w:val="16"/>
          <w:lang w:val="en-US"/>
        </w:rPr>
        <w:t>Assistant Professor, I</w:t>
      </w:r>
      <w:r w:rsidR="002769C0" w:rsidRPr="002769C0">
        <w:rPr>
          <w:rFonts w:ascii="Verdana" w:eastAsiaTheme="minorEastAsia" w:hAnsi="Verdana" w:cstheme="minorBidi"/>
          <w:sz w:val="16"/>
          <w:szCs w:val="16"/>
          <w:lang w:val="en-US"/>
        </w:rPr>
        <w:t>nstitute of Management Sciences Peshawar</w:t>
      </w:r>
      <w:r w:rsidR="002769C0">
        <w:rPr>
          <w:rFonts w:ascii="Verdana" w:eastAsiaTheme="minorEastAsia" w:hAnsi="Verdana" w:cstheme="minorBidi"/>
          <w:sz w:val="16"/>
          <w:szCs w:val="16"/>
          <w:lang w:val="en-US"/>
        </w:rPr>
        <w:t>, Pakistan</w:t>
      </w:r>
      <w:r w:rsidR="00042898">
        <w:rPr>
          <w:rFonts w:ascii="Verdana" w:hAnsi="Verdana"/>
          <w:sz w:val="16"/>
          <w:szCs w:val="16"/>
        </w:rPr>
        <w:t>.</w:t>
      </w:r>
      <w:r w:rsidR="00F40804">
        <w:rPr>
          <w:rFonts w:ascii="Verdana" w:hAnsi="Verdana"/>
          <w:sz w:val="16"/>
          <w:szCs w:val="16"/>
        </w:rPr>
        <w:t xml:space="preserve"> </w:t>
      </w:r>
      <w:r w:rsidRPr="00AC76B1">
        <w:rPr>
          <w:rFonts w:ascii="Verdana" w:eastAsiaTheme="minorEastAsia" w:hAnsi="Verdana" w:cstheme="minorBidi"/>
          <w:sz w:val="16"/>
          <w:szCs w:val="16"/>
          <w:lang w:val="en-US"/>
        </w:rPr>
        <w:t xml:space="preserve">Email: </w:t>
      </w:r>
      <w:r w:rsidR="00041C62" w:rsidRPr="00041C62">
        <w:rPr>
          <w:rFonts w:ascii="Verdana" w:eastAsiaTheme="minorEastAsia" w:hAnsi="Verdana" w:cstheme="minorBidi"/>
          <w:sz w:val="16"/>
          <w:szCs w:val="16"/>
          <w:lang w:val="en-US"/>
        </w:rPr>
        <w:t>mukamil.shah@imsciences.edu.pk</w:t>
      </w:r>
    </w:p>
    <w:p w14:paraId="1F330C45" w14:textId="6063CBFB" w:rsidR="00074F6E" w:rsidRPr="0046408D" w:rsidRDefault="00074F6E" w:rsidP="0046408D">
      <w:pPr>
        <w:pStyle w:val="FootnoteText"/>
        <w:ind w:left="90" w:hanging="90"/>
        <w:jc w:val="left"/>
        <w:rPr>
          <w:rFonts w:ascii="Verdana" w:eastAsiaTheme="minorEastAsia" w:hAnsi="Verdana" w:cstheme="minorBidi"/>
          <w:sz w:val="16"/>
          <w:szCs w:val="16"/>
          <w:lang w:val="en-US"/>
        </w:rPr>
      </w:pPr>
      <w:r>
        <w:rPr>
          <w:rFonts w:ascii="Verdana" w:eastAsiaTheme="minorEastAsia" w:hAnsi="Verdana" w:cstheme="minorBidi"/>
          <w:sz w:val="16"/>
          <w:szCs w:val="16"/>
          <w:vertAlign w:val="superscript"/>
          <w:lang w:val="en-US"/>
        </w:rPr>
        <w:t>3</w:t>
      </w:r>
      <w:r w:rsidRPr="00AC76B1">
        <w:t xml:space="preserve"> </w:t>
      </w:r>
      <w:r w:rsidR="00607983">
        <w:rPr>
          <w:rFonts w:ascii="Verdana" w:eastAsiaTheme="minorEastAsia" w:hAnsi="Verdana" w:cstheme="minorBidi"/>
          <w:sz w:val="16"/>
          <w:szCs w:val="16"/>
          <w:lang w:val="en-US"/>
        </w:rPr>
        <w:t xml:space="preserve">MS Scholar, </w:t>
      </w:r>
      <w:r w:rsidR="00F86956" w:rsidRPr="00F86956">
        <w:rPr>
          <w:rFonts w:ascii="Verdana" w:eastAsiaTheme="minorEastAsia" w:hAnsi="Verdana" w:cstheme="minorBidi"/>
          <w:sz w:val="16"/>
          <w:szCs w:val="16"/>
          <w:lang w:val="en-US"/>
        </w:rPr>
        <w:t>Institute of Management Sciences Peshawar</w:t>
      </w:r>
      <w:r w:rsidR="00F86956">
        <w:rPr>
          <w:rFonts w:ascii="Verdana" w:eastAsiaTheme="minorEastAsia" w:hAnsi="Verdana" w:cstheme="minorBidi"/>
          <w:sz w:val="16"/>
          <w:szCs w:val="16"/>
          <w:lang w:val="en-US"/>
        </w:rPr>
        <w:t>, Pakistan</w:t>
      </w:r>
      <w:r w:rsidRPr="00BE3479">
        <w:rPr>
          <w:rFonts w:ascii="Verdana" w:eastAsiaTheme="minorEastAsia" w:hAnsi="Verdana" w:cstheme="minorBidi"/>
          <w:sz w:val="16"/>
          <w:szCs w:val="16"/>
          <w:lang w:val="en-US"/>
        </w:rPr>
        <w:t>.</w:t>
      </w:r>
      <w:r w:rsidR="00AB4F82">
        <w:rPr>
          <w:rFonts w:ascii="Verdana" w:eastAsiaTheme="minorEastAsia" w:hAnsi="Verdana" w:cstheme="minorBidi"/>
          <w:sz w:val="16"/>
          <w:szCs w:val="16"/>
          <w:lang w:val="en-US"/>
        </w:rPr>
        <w:t xml:space="preserve"> </w:t>
      </w:r>
      <w:r w:rsidRPr="00AC76B1">
        <w:rPr>
          <w:rFonts w:ascii="Verdana" w:eastAsiaTheme="minorEastAsia" w:hAnsi="Verdana" w:cstheme="minorBidi"/>
          <w:sz w:val="16"/>
          <w:szCs w:val="16"/>
          <w:lang w:val="en-US"/>
        </w:rPr>
        <w:t xml:space="preserve">Email: </w:t>
      </w:r>
      <w:r w:rsidR="00F86956" w:rsidRPr="00F86956">
        <w:rPr>
          <w:rFonts w:ascii="Verdana" w:eastAsiaTheme="minorEastAsia" w:hAnsi="Verdana" w:cstheme="minorBidi"/>
          <w:sz w:val="16"/>
          <w:szCs w:val="16"/>
          <w:lang w:val="en-US"/>
        </w:rPr>
        <w:t>manzarzia7@gmail.com</w:t>
      </w:r>
    </w:p>
    <w:bookmarkEnd w:id="1"/>
    <w:p w14:paraId="510250EC" w14:textId="78266FBF" w:rsidR="00E91BBF" w:rsidRPr="00AC76B1" w:rsidRDefault="00E91BBF" w:rsidP="00DD7FB6">
      <w:pPr>
        <w:tabs>
          <w:tab w:val="left" w:pos="709"/>
          <w:tab w:val="left" w:pos="851"/>
        </w:tabs>
        <w:rPr>
          <w:rFonts w:ascii="Verdana" w:eastAsiaTheme="minorEastAsia" w:hAnsi="Verdana" w:cstheme="minorBidi"/>
          <w:color w:val="auto"/>
          <w:sz w:val="8"/>
          <w:szCs w:val="8"/>
        </w:rPr>
      </w:pPr>
    </w:p>
    <w:tbl>
      <w:tblPr>
        <w:tblStyle w:val="TableGrid"/>
        <w:tblW w:w="9747"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08"/>
        <w:gridCol w:w="6039"/>
      </w:tblGrid>
      <w:tr w:rsidR="00E95D3D" w:rsidRPr="00AC76B1" w14:paraId="5E8C8C57" w14:textId="77777777" w:rsidTr="00CD1A26">
        <w:tc>
          <w:tcPr>
            <w:tcW w:w="3708" w:type="dxa"/>
            <w:tcBorders>
              <w:bottom w:val="single" w:sz="8" w:space="0" w:color="auto"/>
            </w:tcBorders>
          </w:tcPr>
          <w:p w14:paraId="6F8F478D" w14:textId="77777777" w:rsidR="00522E0A" w:rsidRPr="00AC76B1" w:rsidRDefault="00522E0A" w:rsidP="00DD7FB6">
            <w:pPr>
              <w:tabs>
                <w:tab w:val="left" w:pos="709"/>
                <w:tab w:val="left" w:pos="851"/>
              </w:tabs>
              <w:spacing w:before="120" w:after="120"/>
              <w:ind w:left="0" w:firstLine="0"/>
              <w:jc w:val="left"/>
              <w:rPr>
                <w:rFonts w:ascii="Verdana" w:hAnsi="Verdana" w:cstheme="minorBidi"/>
                <w:color w:val="auto"/>
                <w:sz w:val="20"/>
                <w:szCs w:val="20"/>
              </w:rPr>
            </w:pPr>
            <w:r w:rsidRPr="00AC76B1">
              <w:rPr>
                <w:rFonts w:ascii="Verdana" w:hAnsi="Verdana" w:cstheme="minorBidi"/>
                <w:b/>
                <w:bCs/>
                <w:color w:val="auto"/>
                <w:sz w:val="20"/>
                <w:szCs w:val="20"/>
              </w:rPr>
              <w:t>ARTICLE INFO</w:t>
            </w:r>
          </w:p>
        </w:tc>
        <w:tc>
          <w:tcPr>
            <w:tcW w:w="6039" w:type="dxa"/>
            <w:tcBorders>
              <w:bottom w:val="single" w:sz="8" w:space="0" w:color="auto"/>
            </w:tcBorders>
          </w:tcPr>
          <w:p w14:paraId="66B8E741" w14:textId="5ABE8E4C" w:rsidR="00522E0A" w:rsidRPr="00AC76B1" w:rsidRDefault="00522E0A" w:rsidP="00343F64">
            <w:pPr>
              <w:tabs>
                <w:tab w:val="left" w:pos="709"/>
                <w:tab w:val="left" w:pos="851"/>
                <w:tab w:val="center" w:pos="2911"/>
              </w:tabs>
              <w:spacing w:before="120" w:after="120"/>
              <w:ind w:left="0" w:firstLine="0"/>
              <w:jc w:val="left"/>
              <w:rPr>
                <w:rFonts w:ascii="Verdana" w:hAnsi="Verdana" w:cstheme="minorBidi"/>
                <w:b/>
                <w:bCs/>
                <w:color w:val="auto"/>
                <w:sz w:val="20"/>
                <w:szCs w:val="20"/>
              </w:rPr>
            </w:pPr>
            <w:r w:rsidRPr="00AC76B1">
              <w:rPr>
                <w:rFonts w:ascii="Verdana" w:hAnsi="Verdana" w:cstheme="minorBidi"/>
                <w:b/>
                <w:bCs/>
                <w:color w:val="auto"/>
                <w:sz w:val="20"/>
                <w:szCs w:val="20"/>
              </w:rPr>
              <w:t>ABSTRACT</w:t>
            </w:r>
            <w:r w:rsidR="00343F64" w:rsidRPr="00AC76B1">
              <w:rPr>
                <w:rFonts w:ascii="Verdana" w:hAnsi="Verdana" w:cstheme="minorBidi"/>
                <w:b/>
                <w:bCs/>
                <w:color w:val="auto"/>
                <w:sz w:val="20"/>
                <w:szCs w:val="20"/>
              </w:rPr>
              <w:tab/>
            </w:r>
          </w:p>
        </w:tc>
      </w:tr>
      <w:tr w:rsidR="00E95D3D" w:rsidRPr="00AC76B1" w14:paraId="68B52CB0" w14:textId="77777777" w:rsidTr="00E909A1">
        <w:trPr>
          <w:trHeight w:val="1164"/>
        </w:trPr>
        <w:tc>
          <w:tcPr>
            <w:tcW w:w="3708" w:type="dxa"/>
            <w:tcBorders>
              <w:top w:val="single" w:sz="8" w:space="0" w:color="auto"/>
              <w:bottom w:val="single" w:sz="8" w:space="0" w:color="auto"/>
            </w:tcBorders>
          </w:tcPr>
          <w:p w14:paraId="50F0DCBE" w14:textId="77777777" w:rsidR="00B80A1F" w:rsidRPr="00AC76B1" w:rsidRDefault="00B80A1F" w:rsidP="00DD7FB6">
            <w:pPr>
              <w:tabs>
                <w:tab w:val="left" w:pos="709"/>
                <w:tab w:val="left" w:pos="851"/>
              </w:tabs>
              <w:ind w:left="0" w:firstLine="0"/>
              <w:rPr>
                <w:rFonts w:ascii="Verdana" w:hAnsi="Verdana" w:cstheme="minorBidi"/>
                <w:b/>
                <w:bCs/>
                <w:i/>
                <w:iCs/>
                <w:color w:val="auto"/>
                <w:sz w:val="18"/>
                <w:szCs w:val="18"/>
              </w:rPr>
            </w:pPr>
            <w:r w:rsidRPr="00AC76B1">
              <w:rPr>
                <w:rFonts w:ascii="Verdana" w:hAnsi="Verdana" w:cstheme="minorBidi"/>
                <w:b/>
                <w:bCs/>
                <w:i/>
                <w:iCs/>
                <w:color w:val="auto"/>
                <w:sz w:val="18"/>
                <w:szCs w:val="18"/>
              </w:rPr>
              <w:t>Article History:</w:t>
            </w:r>
          </w:p>
          <w:p w14:paraId="43513785" w14:textId="268AE813" w:rsidR="00B80A1F" w:rsidRPr="00AC76B1" w:rsidRDefault="38DDBAF4" w:rsidP="00DD7FB6">
            <w:pPr>
              <w:tabs>
                <w:tab w:val="left" w:pos="709"/>
                <w:tab w:val="left" w:pos="851"/>
              </w:tabs>
              <w:ind w:left="0" w:firstLine="0"/>
              <w:rPr>
                <w:rFonts w:ascii="Verdana" w:hAnsi="Verdana" w:cstheme="minorBidi"/>
                <w:color w:val="auto"/>
                <w:sz w:val="18"/>
                <w:szCs w:val="18"/>
              </w:rPr>
            </w:pPr>
            <w:r w:rsidRPr="00AC76B1">
              <w:rPr>
                <w:rFonts w:ascii="Verdana" w:hAnsi="Verdana" w:cstheme="minorBidi"/>
                <w:color w:val="auto"/>
                <w:sz w:val="18"/>
                <w:szCs w:val="18"/>
              </w:rPr>
              <w:t>Received:</w:t>
            </w:r>
            <w:r w:rsidR="007969EF" w:rsidRPr="00AC76B1">
              <w:rPr>
                <w:rFonts w:ascii="Verdana" w:hAnsi="Verdana" w:cstheme="minorBidi"/>
                <w:color w:val="auto"/>
                <w:sz w:val="18"/>
                <w:szCs w:val="18"/>
              </w:rPr>
              <w:t xml:space="preserve">     </w:t>
            </w:r>
            <w:r w:rsidR="00123E99" w:rsidRPr="00AC76B1">
              <w:rPr>
                <w:rFonts w:ascii="Verdana" w:hAnsi="Verdana" w:cstheme="minorBidi"/>
                <w:color w:val="auto"/>
                <w:sz w:val="18"/>
                <w:szCs w:val="18"/>
              </w:rPr>
              <w:t xml:space="preserve"> </w:t>
            </w:r>
            <w:r w:rsidR="00051E1E" w:rsidRPr="00AC76B1">
              <w:rPr>
                <w:rFonts w:ascii="Verdana" w:hAnsi="Verdana" w:cstheme="minorBidi"/>
                <w:color w:val="auto"/>
                <w:sz w:val="18"/>
                <w:szCs w:val="18"/>
              </w:rPr>
              <w:t xml:space="preserve">    </w:t>
            </w:r>
            <w:r w:rsidR="0028701C" w:rsidRPr="00AC76B1">
              <w:rPr>
                <w:rFonts w:ascii="Verdana" w:hAnsi="Verdana" w:cstheme="minorBidi"/>
                <w:color w:val="auto"/>
              </w:rPr>
              <w:t xml:space="preserve"> </w:t>
            </w:r>
            <w:r w:rsidR="00EE6406">
              <w:rPr>
                <w:rFonts w:ascii="Verdana" w:hAnsi="Verdana" w:cstheme="minorBidi"/>
                <w:color w:val="auto"/>
                <w:sz w:val="18"/>
                <w:szCs w:val="18"/>
              </w:rPr>
              <w:t xml:space="preserve">July           </w:t>
            </w:r>
            <w:r w:rsidR="005247A6">
              <w:rPr>
                <w:rFonts w:ascii="Verdana" w:hAnsi="Verdana" w:cstheme="minorBidi"/>
                <w:color w:val="auto"/>
                <w:sz w:val="18"/>
                <w:szCs w:val="18"/>
              </w:rPr>
              <w:t>06</w:t>
            </w:r>
            <w:r w:rsidR="0074793B" w:rsidRPr="00AC76B1">
              <w:rPr>
                <w:rFonts w:ascii="Verdana" w:hAnsi="Verdana" w:cstheme="minorBidi"/>
                <w:color w:val="auto"/>
                <w:sz w:val="18"/>
                <w:szCs w:val="18"/>
              </w:rPr>
              <w:t>, 202</w:t>
            </w:r>
            <w:r w:rsidR="0047372A" w:rsidRPr="00AC76B1">
              <w:rPr>
                <w:rFonts w:ascii="Verdana" w:hAnsi="Verdana" w:cstheme="minorBidi"/>
                <w:color w:val="auto"/>
                <w:sz w:val="18"/>
                <w:szCs w:val="18"/>
              </w:rPr>
              <w:t>3</w:t>
            </w:r>
          </w:p>
          <w:p w14:paraId="1DCBC2A2" w14:textId="3E7DDA32" w:rsidR="00B80A1F" w:rsidRPr="00AC76B1" w:rsidRDefault="38DDBAF4" w:rsidP="00DD7FB6">
            <w:pPr>
              <w:tabs>
                <w:tab w:val="left" w:pos="709"/>
                <w:tab w:val="left" w:pos="851"/>
              </w:tabs>
              <w:ind w:left="0" w:firstLine="0"/>
              <w:rPr>
                <w:rFonts w:ascii="Verdana" w:hAnsi="Verdana" w:cstheme="minorBidi"/>
                <w:color w:val="auto"/>
                <w:sz w:val="18"/>
                <w:szCs w:val="18"/>
              </w:rPr>
            </w:pPr>
            <w:r w:rsidRPr="00AC76B1">
              <w:rPr>
                <w:rFonts w:ascii="Verdana" w:hAnsi="Verdana" w:cstheme="minorBidi"/>
                <w:color w:val="auto"/>
                <w:sz w:val="18"/>
                <w:szCs w:val="18"/>
              </w:rPr>
              <w:t>Revised:</w:t>
            </w:r>
            <w:r w:rsidR="00944D80" w:rsidRPr="00AC76B1">
              <w:rPr>
                <w:rFonts w:ascii="Verdana" w:hAnsi="Verdana" w:cstheme="minorBidi"/>
                <w:color w:val="auto"/>
                <w:sz w:val="18"/>
                <w:szCs w:val="18"/>
              </w:rPr>
              <w:t xml:space="preserve"> </w:t>
            </w:r>
            <w:r w:rsidR="007969EF" w:rsidRPr="00AC76B1">
              <w:rPr>
                <w:rFonts w:ascii="Verdana" w:hAnsi="Verdana" w:cstheme="minorBidi"/>
                <w:color w:val="auto"/>
                <w:sz w:val="18"/>
                <w:szCs w:val="18"/>
              </w:rPr>
              <w:t xml:space="preserve">   </w:t>
            </w:r>
            <w:r w:rsidR="000F7D90" w:rsidRPr="00AC76B1">
              <w:rPr>
                <w:rFonts w:ascii="Verdana" w:hAnsi="Verdana" w:cstheme="minorBidi"/>
                <w:color w:val="auto"/>
                <w:sz w:val="18"/>
                <w:szCs w:val="18"/>
              </w:rPr>
              <w:t xml:space="preserve"> </w:t>
            </w:r>
            <w:r w:rsidR="00051E1E" w:rsidRPr="00AC76B1">
              <w:rPr>
                <w:rFonts w:ascii="Verdana" w:hAnsi="Verdana" w:cstheme="minorBidi"/>
                <w:color w:val="auto"/>
                <w:sz w:val="18"/>
                <w:szCs w:val="18"/>
              </w:rPr>
              <w:t xml:space="preserve">        </w:t>
            </w:r>
            <w:r w:rsidR="004B3B06">
              <w:rPr>
                <w:rFonts w:ascii="Verdana" w:hAnsi="Verdana" w:cstheme="minorBidi"/>
                <w:color w:val="auto"/>
                <w:sz w:val="18"/>
                <w:szCs w:val="18"/>
              </w:rPr>
              <w:t>September</w:t>
            </w:r>
            <w:r w:rsidR="008D7F6E" w:rsidRPr="00AC76B1">
              <w:rPr>
                <w:rFonts w:ascii="Verdana" w:hAnsi="Verdana" w:cstheme="minorBidi"/>
                <w:color w:val="auto"/>
                <w:sz w:val="18"/>
                <w:szCs w:val="18"/>
              </w:rPr>
              <w:t xml:space="preserve"> </w:t>
            </w:r>
            <w:r w:rsidR="005247A6">
              <w:rPr>
                <w:rFonts w:ascii="Verdana" w:hAnsi="Verdana" w:cstheme="minorBidi"/>
                <w:color w:val="auto"/>
                <w:sz w:val="18"/>
                <w:szCs w:val="18"/>
              </w:rPr>
              <w:t>20</w:t>
            </w:r>
            <w:r w:rsidR="00CD1A26" w:rsidRPr="00AC76B1">
              <w:rPr>
                <w:rFonts w:ascii="Verdana" w:hAnsi="Verdana" w:cstheme="minorBidi"/>
                <w:color w:val="auto"/>
                <w:sz w:val="18"/>
                <w:szCs w:val="18"/>
              </w:rPr>
              <w:t>, 202</w:t>
            </w:r>
            <w:r w:rsidR="0047372A" w:rsidRPr="00AC76B1">
              <w:rPr>
                <w:rFonts w:ascii="Verdana" w:hAnsi="Verdana" w:cstheme="minorBidi"/>
                <w:color w:val="auto"/>
                <w:sz w:val="18"/>
                <w:szCs w:val="18"/>
              </w:rPr>
              <w:t>3</w:t>
            </w:r>
          </w:p>
          <w:p w14:paraId="2CF6881C" w14:textId="17D2D392" w:rsidR="00B80A1F" w:rsidRPr="00AC76B1" w:rsidRDefault="38DDBAF4" w:rsidP="00DD7FB6">
            <w:pPr>
              <w:tabs>
                <w:tab w:val="left" w:pos="709"/>
                <w:tab w:val="left" w:pos="851"/>
              </w:tabs>
              <w:ind w:left="0" w:firstLine="0"/>
              <w:rPr>
                <w:rFonts w:ascii="Verdana" w:hAnsi="Verdana" w:cstheme="minorBidi"/>
                <w:color w:val="auto"/>
                <w:sz w:val="18"/>
                <w:szCs w:val="18"/>
              </w:rPr>
            </w:pPr>
            <w:r w:rsidRPr="00AC76B1">
              <w:rPr>
                <w:rFonts w:ascii="Verdana" w:hAnsi="Verdana" w:cstheme="minorBidi"/>
                <w:color w:val="auto"/>
                <w:sz w:val="18"/>
                <w:szCs w:val="18"/>
              </w:rPr>
              <w:t>Accepted:</w:t>
            </w:r>
            <w:r w:rsidR="007969EF" w:rsidRPr="00AC76B1">
              <w:rPr>
                <w:rFonts w:ascii="Verdana" w:hAnsi="Verdana" w:cstheme="minorBidi"/>
                <w:color w:val="auto"/>
                <w:sz w:val="18"/>
                <w:szCs w:val="18"/>
              </w:rPr>
              <w:t xml:space="preserve">     </w:t>
            </w:r>
            <w:r w:rsidR="00123E99" w:rsidRPr="00AC76B1">
              <w:rPr>
                <w:rFonts w:ascii="Verdana" w:hAnsi="Verdana" w:cstheme="minorBidi"/>
                <w:color w:val="auto"/>
                <w:sz w:val="18"/>
                <w:szCs w:val="18"/>
              </w:rPr>
              <w:t xml:space="preserve"> </w:t>
            </w:r>
            <w:r w:rsidR="00051E1E" w:rsidRPr="00AC76B1">
              <w:rPr>
                <w:rFonts w:ascii="Verdana" w:hAnsi="Verdana" w:cstheme="minorBidi"/>
                <w:color w:val="auto"/>
                <w:sz w:val="18"/>
                <w:szCs w:val="18"/>
              </w:rPr>
              <w:t xml:space="preserve">     </w:t>
            </w:r>
            <w:r w:rsidR="004B3B06">
              <w:rPr>
                <w:rFonts w:ascii="Verdana" w:hAnsi="Verdana" w:cstheme="minorBidi"/>
                <w:color w:val="auto"/>
                <w:sz w:val="18"/>
                <w:szCs w:val="18"/>
              </w:rPr>
              <w:t>September</w:t>
            </w:r>
            <w:r w:rsidR="004B3B06" w:rsidRPr="00AC76B1">
              <w:rPr>
                <w:rFonts w:ascii="Verdana" w:hAnsi="Verdana" w:cstheme="minorBidi"/>
                <w:color w:val="auto"/>
                <w:sz w:val="18"/>
                <w:szCs w:val="18"/>
              </w:rPr>
              <w:t xml:space="preserve"> </w:t>
            </w:r>
            <w:r w:rsidR="00143DDB">
              <w:rPr>
                <w:rFonts w:ascii="Verdana" w:hAnsi="Verdana" w:cstheme="minorBidi"/>
                <w:color w:val="auto"/>
                <w:sz w:val="18"/>
                <w:szCs w:val="18"/>
              </w:rPr>
              <w:t>2</w:t>
            </w:r>
            <w:r w:rsidR="005247A6">
              <w:rPr>
                <w:rFonts w:ascii="Verdana" w:hAnsi="Verdana" w:cstheme="minorBidi"/>
                <w:color w:val="auto"/>
                <w:sz w:val="18"/>
                <w:szCs w:val="18"/>
              </w:rPr>
              <w:t>1</w:t>
            </w:r>
            <w:r w:rsidR="004B3B06" w:rsidRPr="00AC76B1">
              <w:rPr>
                <w:rFonts w:ascii="Verdana" w:hAnsi="Verdana" w:cstheme="minorBidi"/>
                <w:color w:val="auto"/>
                <w:sz w:val="18"/>
                <w:szCs w:val="18"/>
              </w:rPr>
              <w:t>, 2023</w:t>
            </w:r>
          </w:p>
          <w:p w14:paraId="3E8119F6" w14:textId="63835FC2" w:rsidR="00B80A1F" w:rsidRPr="00AC76B1" w:rsidRDefault="38DDBAF4" w:rsidP="00364E45">
            <w:pPr>
              <w:tabs>
                <w:tab w:val="left" w:pos="709"/>
                <w:tab w:val="left" w:pos="851"/>
              </w:tabs>
              <w:ind w:left="0" w:firstLine="0"/>
              <w:rPr>
                <w:rFonts w:ascii="Verdana" w:hAnsi="Verdana" w:cstheme="minorBidi"/>
                <w:color w:val="auto"/>
                <w:sz w:val="18"/>
                <w:szCs w:val="18"/>
              </w:rPr>
            </w:pPr>
            <w:r w:rsidRPr="00AC76B1">
              <w:rPr>
                <w:rFonts w:ascii="Verdana" w:hAnsi="Verdana" w:cstheme="minorBidi"/>
                <w:color w:val="auto"/>
                <w:sz w:val="18"/>
                <w:szCs w:val="18"/>
              </w:rPr>
              <w:t xml:space="preserve">Available Online: </w:t>
            </w:r>
            <w:r w:rsidR="004B3B06">
              <w:rPr>
                <w:rFonts w:ascii="Verdana" w:hAnsi="Verdana" w:cstheme="minorBidi"/>
                <w:color w:val="auto"/>
                <w:sz w:val="18"/>
                <w:szCs w:val="18"/>
              </w:rPr>
              <w:t>September</w:t>
            </w:r>
            <w:r w:rsidR="004B3B06" w:rsidRPr="00AC76B1">
              <w:rPr>
                <w:rFonts w:ascii="Verdana" w:hAnsi="Verdana" w:cstheme="minorBidi"/>
                <w:color w:val="auto"/>
                <w:sz w:val="18"/>
                <w:szCs w:val="18"/>
              </w:rPr>
              <w:t xml:space="preserve"> </w:t>
            </w:r>
            <w:r w:rsidR="006742D9">
              <w:rPr>
                <w:rFonts w:ascii="Verdana" w:hAnsi="Verdana" w:cstheme="minorBidi"/>
                <w:color w:val="auto"/>
                <w:sz w:val="18"/>
                <w:szCs w:val="18"/>
              </w:rPr>
              <w:t>2</w:t>
            </w:r>
            <w:r w:rsidR="005247A6">
              <w:rPr>
                <w:rFonts w:ascii="Verdana" w:hAnsi="Verdana" w:cstheme="minorBidi"/>
                <w:color w:val="auto"/>
                <w:sz w:val="18"/>
                <w:szCs w:val="18"/>
              </w:rPr>
              <w:t>2</w:t>
            </w:r>
            <w:r w:rsidR="004B3B06" w:rsidRPr="00AC76B1">
              <w:rPr>
                <w:rFonts w:ascii="Verdana" w:hAnsi="Verdana" w:cstheme="minorBidi"/>
                <w:color w:val="auto"/>
                <w:sz w:val="18"/>
                <w:szCs w:val="18"/>
              </w:rPr>
              <w:t>, 2023</w:t>
            </w:r>
          </w:p>
        </w:tc>
        <w:tc>
          <w:tcPr>
            <w:tcW w:w="6039" w:type="dxa"/>
            <w:vMerge w:val="restart"/>
            <w:tcBorders>
              <w:top w:val="single" w:sz="8" w:space="0" w:color="auto"/>
            </w:tcBorders>
          </w:tcPr>
          <w:p w14:paraId="79CDD6C5" w14:textId="2D3EDC6C" w:rsidR="0038287D" w:rsidRPr="00AC76B1" w:rsidRDefault="008A5E3E" w:rsidP="002D54DF">
            <w:pPr>
              <w:ind w:left="0" w:firstLine="0"/>
              <w:rPr>
                <w:rFonts w:ascii="Verdana" w:hAnsi="Verdana"/>
                <w:sz w:val="18"/>
                <w:szCs w:val="18"/>
              </w:rPr>
            </w:pPr>
            <w:r w:rsidRPr="008A5E3E">
              <w:rPr>
                <w:rFonts w:ascii="Verdana" w:hAnsi="Verdana"/>
                <w:sz w:val="18"/>
                <w:szCs w:val="18"/>
              </w:rPr>
              <w:t>This research investigates the intricate relationships between financial risk tolerance, personality traits, and demographic characteristics among investors in Lower Dir. By acknowledging the crucial role of these factors in shaping investment decisions, our analysis of 284 participants' data reveals that age, education, conscientiousness, and neuroticism significantly impact financial risk tolerance. On the other hand, gender, monthly income, openness to experience, and agreeableness show weaker or insignificant associations. These findings provide essential insights for devising effective financial planning and investment strategies. To further explore these relationships, future research should consider longitudinal or experimental approaches and larger sample sizes.</w:t>
            </w:r>
          </w:p>
        </w:tc>
      </w:tr>
      <w:tr w:rsidR="00E95D3D" w:rsidRPr="00AC76B1" w14:paraId="598C1B2B" w14:textId="77777777" w:rsidTr="00327F06">
        <w:trPr>
          <w:trHeight w:val="876"/>
        </w:trPr>
        <w:tc>
          <w:tcPr>
            <w:tcW w:w="3708" w:type="dxa"/>
            <w:tcBorders>
              <w:top w:val="single" w:sz="8" w:space="0" w:color="auto"/>
              <w:bottom w:val="single" w:sz="8" w:space="0" w:color="auto"/>
            </w:tcBorders>
          </w:tcPr>
          <w:p w14:paraId="09805626" w14:textId="77777777" w:rsidR="00B80A1F" w:rsidRPr="00AC76B1" w:rsidRDefault="00B80A1F" w:rsidP="00DD7FB6">
            <w:pPr>
              <w:tabs>
                <w:tab w:val="left" w:pos="709"/>
                <w:tab w:val="left" w:pos="851"/>
              </w:tabs>
              <w:ind w:left="0" w:firstLine="0"/>
              <w:rPr>
                <w:rFonts w:ascii="Verdana" w:hAnsi="Verdana" w:cstheme="minorBidi"/>
                <w:b/>
                <w:bCs/>
                <w:i/>
                <w:iCs/>
                <w:color w:val="auto"/>
                <w:sz w:val="18"/>
                <w:szCs w:val="18"/>
              </w:rPr>
            </w:pPr>
            <w:r w:rsidRPr="00AC76B1">
              <w:rPr>
                <w:rFonts w:ascii="Verdana" w:hAnsi="Verdana" w:cstheme="minorBidi"/>
                <w:b/>
                <w:bCs/>
                <w:i/>
                <w:iCs/>
                <w:color w:val="auto"/>
                <w:sz w:val="18"/>
                <w:szCs w:val="18"/>
              </w:rPr>
              <w:t>Keywords:</w:t>
            </w:r>
          </w:p>
          <w:p w14:paraId="7DA40C70" w14:textId="77777777" w:rsidR="008A5E3E" w:rsidRDefault="008A5E3E" w:rsidP="00CC651B">
            <w:pPr>
              <w:spacing w:after="40"/>
              <w:ind w:left="0" w:firstLine="0"/>
              <w:rPr>
                <w:rFonts w:ascii="Verdana" w:hAnsi="Verdana" w:cstheme="minorBidi"/>
                <w:color w:val="auto"/>
                <w:sz w:val="18"/>
                <w:szCs w:val="18"/>
              </w:rPr>
            </w:pPr>
            <w:r w:rsidRPr="008A5E3E">
              <w:rPr>
                <w:rFonts w:ascii="Verdana" w:hAnsi="Verdana" w:cstheme="minorBidi"/>
                <w:color w:val="auto"/>
                <w:sz w:val="18"/>
                <w:szCs w:val="18"/>
              </w:rPr>
              <w:t>Personality Traits</w:t>
            </w:r>
          </w:p>
          <w:p w14:paraId="3A7C1B1B" w14:textId="77777777" w:rsidR="008A5E3E" w:rsidRDefault="008A5E3E" w:rsidP="00CC651B">
            <w:pPr>
              <w:spacing w:after="40"/>
              <w:ind w:left="0" w:firstLine="0"/>
              <w:rPr>
                <w:rFonts w:ascii="Verdana" w:hAnsi="Verdana" w:cstheme="minorBidi"/>
                <w:color w:val="auto"/>
                <w:sz w:val="18"/>
                <w:szCs w:val="18"/>
              </w:rPr>
            </w:pPr>
            <w:r w:rsidRPr="008A5E3E">
              <w:rPr>
                <w:rFonts w:ascii="Verdana" w:hAnsi="Verdana" w:cstheme="minorBidi"/>
                <w:color w:val="auto"/>
                <w:sz w:val="18"/>
                <w:szCs w:val="18"/>
              </w:rPr>
              <w:t>Financial Risk Tolerance</w:t>
            </w:r>
          </w:p>
          <w:p w14:paraId="7C713B8D" w14:textId="6D60ED4A" w:rsidR="00F60147" w:rsidRPr="00AC76B1" w:rsidRDefault="008A5E3E" w:rsidP="00CC651B">
            <w:pPr>
              <w:spacing w:after="40"/>
              <w:ind w:left="0" w:firstLine="0"/>
              <w:rPr>
                <w:rFonts w:ascii="Verdana" w:hAnsi="Verdana" w:cstheme="minorBidi"/>
                <w:color w:val="auto"/>
                <w:sz w:val="18"/>
                <w:szCs w:val="18"/>
              </w:rPr>
            </w:pPr>
            <w:r w:rsidRPr="008A5E3E">
              <w:rPr>
                <w:rFonts w:ascii="Verdana" w:hAnsi="Verdana" w:cstheme="minorBidi"/>
                <w:color w:val="auto"/>
                <w:sz w:val="18"/>
                <w:szCs w:val="18"/>
              </w:rPr>
              <w:t>Weighted Least Square</w:t>
            </w:r>
          </w:p>
        </w:tc>
        <w:tc>
          <w:tcPr>
            <w:tcW w:w="6039" w:type="dxa"/>
            <w:vMerge/>
          </w:tcPr>
          <w:p w14:paraId="1F068E41" w14:textId="77777777" w:rsidR="00B80A1F" w:rsidRPr="00AC76B1" w:rsidRDefault="00B80A1F" w:rsidP="00DD7FB6">
            <w:pPr>
              <w:tabs>
                <w:tab w:val="left" w:pos="709"/>
                <w:tab w:val="left" w:pos="851"/>
              </w:tabs>
              <w:spacing w:before="120"/>
              <w:ind w:left="0" w:firstLine="0"/>
              <w:rPr>
                <w:rFonts w:ascii="Verdana" w:hAnsi="Verdana" w:cstheme="minorBidi"/>
                <w:color w:val="auto"/>
                <w:sz w:val="14"/>
                <w:szCs w:val="14"/>
              </w:rPr>
            </w:pPr>
          </w:p>
        </w:tc>
      </w:tr>
      <w:tr w:rsidR="00D2086A" w:rsidRPr="00AC76B1" w14:paraId="4A4513C5" w14:textId="77777777" w:rsidTr="00E909A1">
        <w:trPr>
          <w:trHeight w:val="525"/>
        </w:trPr>
        <w:tc>
          <w:tcPr>
            <w:tcW w:w="3708" w:type="dxa"/>
            <w:tcBorders>
              <w:top w:val="single" w:sz="8" w:space="0" w:color="auto"/>
              <w:bottom w:val="single" w:sz="4" w:space="0" w:color="auto"/>
            </w:tcBorders>
          </w:tcPr>
          <w:p w14:paraId="1B019CDE" w14:textId="77777777" w:rsidR="00353BAB" w:rsidRPr="00AC76B1" w:rsidRDefault="00353BAB" w:rsidP="00353BAB">
            <w:pPr>
              <w:tabs>
                <w:tab w:val="left" w:pos="709"/>
                <w:tab w:val="left" w:pos="851"/>
              </w:tabs>
              <w:ind w:left="0" w:firstLine="0"/>
              <w:rPr>
                <w:rFonts w:ascii="Verdana" w:hAnsi="Verdana" w:cstheme="minorBidi"/>
                <w:b/>
                <w:bCs/>
                <w:i/>
                <w:iCs/>
                <w:sz w:val="18"/>
                <w:szCs w:val="18"/>
              </w:rPr>
            </w:pPr>
            <w:r w:rsidRPr="00AC76B1">
              <w:rPr>
                <w:rFonts w:ascii="Verdana" w:hAnsi="Verdana" w:cstheme="minorBidi"/>
                <w:b/>
                <w:bCs/>
                <w:i/>
                <w:iCs/>
                <w:sz w:val="18"/>
                <w:szCs w:val="18"/>
              </w:rPr>
              <w:t xml:space="preserve">JEL Classification Codes: </w:t>
            </w:r>
          </w:p>
          <w:p w14:paraId="47F66735" w14:textId="0F8577E7" w:rsidR="00D2086A" w:rsidRPr="00AC76B1" w:rsidRDefault="00A41AF8" w:rsidP="009369FF">
            <w:pPr>
              <w:tabs>
                <w:tab w:val="left" w:pos="709"/>
                <w:tab w:val="left" w:pos="851"/>
              </w:tabs>
              <w:ind w:left="0" w:firstLine="0"/>
              <w:rPr>
                <w:rFonts w:ascii="Verdana" w:hAnsi="Verdana" w:cstheme="minorBidi"/>
                <w:color w:val="auto"/>
                <w:sz w:val="18"/>
                <w:szCs w:val="18"/>
              </w:rPr>
            </w:pPr>
            <w:r w:rsidRPr="00A41AF8">
              <w:rPr>
                <w:rFonts w:ascii="Verdana" w:hAnsi="Verdana" w:cstheme="minorBidi"/>
                <w:bCs/>
                <w:iCs/>
                <w:sz w:val="18"/>
                <w:szCs w:val="18"/>
              </w:rPr>
              <w:t>D14, D31, G02, G17, N25</w:t>
            </w:r>
          </w:p>
        </w:tc>
        <w:tc>
          <w:tcPr>
            <w:tcW w:w="6039" w:type="dxa"/>
            <w:vMerge/>
          </w:tcPr>
          <w:p w14:paraId="52E22F80" w14:textId="77777777" w:rsidR="00D2086A" w:rsidRPr="00AC76B1" w:rsidRDefault="00D2086A" w:rsidP="00DD7FB6">
            <w:pPr>
              <w:tabs>
                <w:tab w:val="left" w:pos="709"/>
                <w:tab w:val="left" w:pos="851"/>
              </w:tabs>
              <w:spacing w:before="120"/>
              <w:ind w:left="0" w:firstLine="0"/>
              <w:rPr>
                <w:rFonts w:ascii="Verdana" w:hAnsi="Verdana" w:cstheme="minorBidi"/>
                <w:color w:val="auto"/>
                <w:sz w:val="14"/>
                <w:szCs w:val="14"/>
              </w:rPr>
            </w:pPr>
          </w:p>
        </w:tc>
      </w:tr>
      <w:tr w:rsidR="00E95D3D" w:rsidRPr="00AC76B1" w14:paraId="1944B03D" w14:textId="77777777" w:rsidTr="007D6C56">
        <w:trPr>
          <w:trHeight w:val="471"/>
        </w:trPr>
        <w:tc>
          <w:tcPr>
            <w:tcW w:w="3708" w:type="dxa"/>
            <w:vMerge w:val="restart"/>
            <w:tcBorders>
              <w:top w:val="single" w:sz="8" w:space="0" w:color="auto"/>
            </w:tcBorders>
          </w:tcPr>
          <w:p w14:paraId="5C7A8559" w14:textId="77777777" w:rsidR="00353BAB" w:rsidRPr="00AC76B1" w:rsidRDefault="00353BAB" w:rsidP="00353BAB">
            <w:pPr>
              <w:tabs>
                <w:tab w:val="left" w:pos="709"/>
                <w:tab w:val="left" w:pos="851"/>
              </w:tabs>
              <w:ind w:left="0" w:firstLine="0"/>
              <w:rPr>
                <w:rFonts w:ascii="Verdana" w:hAnsi="Verdana" w:cstheme="minorBidi"/>
                <w:b/>
                <w:bCs/>
                <w:i/>
                <w:iCs/>
                <w:sz w:val="18"/>
                <w:szCs w:val="18"/>
              </w:rPr>
            </w:pPr>
            <w:r w:rsidRPr="00AC76B1">
              <w:rPr>
                <w:rFonts w:ascii="Verdana" w:hAnsi="Verdana" w:cstheme="minorBidi"/>
                <w:b/>
                <w:bCs/>
                <w:i/>
                <w:iCs/>
                <w:sz w:val="18"/>
                <w:szCs w:val="18"/>
              </w:rPr>
              <w:t>Funding:</w:t>
            </w:r>
          </w:p>
          <w:p w14:paraId="7BD903EA" w14:textId="29532835" w:rsidR="00AB1B2D" w:rsidRDefault="00353BAB" w:rsidP="00353BAB">
            <w:pPr>
              <w:tabs>
                <w:tab w:val="left" w:pos="709"/>
                <w:tab w:val="left" w:pos="851"/>
              </w:tabs>
              <w:ind w:left="0" w:firstLine="0"/>
              <w:rPr>
                <w:rFonts w:ascii="Verdana" w:hAnsi="Verdana" w:cstheme="minorBidi"/>
                <w:sz w:val="18"/>
                <w:szCs w:val="18"/>
              </w:rPr>
            </w:pPr>
            <w:r w:rsidRPr="00AC76B1">
              <w:rPr>
                <w:rFonts w:ascii="Verdana" w:hAnsi="Verdana" w:cstheme="minorBidi"/>
                <w:sz w:val="18"/>
                <w:szCs w:val="18"/>
              </w:rPr>
              <w:t>This research received no specific grant from any funding agency in the public, commercial, or not-for-profit sectors.</w:t>
            </w:r>
          </w:p>
          <w:p w14:paraId="1B9F61DB" w14:textId="6FE86F9D" w:rsidR="00BA7388" w:rsidRPr="00AC76B1" w:rsidRDefault="00DD18BD" w:rsidP="00353BAB">
            <w:pPr>
              <w:tabs>
                <w:tab w:val="left" w:pos="709"/>
                <w:tab w:val="left" w:pos="851"/>
              </w:tabs>
              <w:ind w:left="0" w:firstLine="0"/>
              <w:rPr>
                <w:rFonts w:ascii="Verdana" w:hAnsi="Verdana" w:cstheme="minorBidi"/>
                <w:color w:val="auto"/>
                <w:sz w:val="18"/>
                <w:szCs w:val="18"/>
              </w:rPr>
            </w:pPr>
            <w:r w:rsidRPr="00AC76B1">
              <w:rPr>
                <w:noProof/>
                <w:color w:val="auto"/>
              </w:rPr>
              <w:drawing>
                <wp:anchor distT="0" distB="0" distL="114300" distR="114300" simplePos="0" relativeHeight="251656704" behindDoc="0" locked="0" layoutInCell="1" allowOverlap="1" wp14:anchorId="7B7860B9" wp14:editId="6FF2F723">
                  <wp:simplePos x="0" y="0"/>
                  <wp:positionH relativeFrom="column">
                    <wp:posOffset>-43815</wp:posOffset>
                  </wp:positionH>
                  <wp:positionV relativeFrom="paragraph">
                    <wp:posOffset>73025</wp:posOffset>
                  </wp:positionV>
                  <wp:extent cx="1276350" cy="501650"/>
                  <wp:effectExtent l="0" t="0" r="0" b="0"/>
                  <wp:wrapNone/>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6350" cy="501650"/>
                          </a:xfrm>
                          <a:prstGeom prst="rect">
                            <a:avLst/>
                          </a:prstGeom>
                          <a:noFill/>
                          <a:ln>
                            <a:noFill/>
                          </a:ln>
                        </pic:spPr>
                      </pic:pic>
                    </a:graphicData>
                  </a:graphic>
                  <wp14:sizeRelV relativeFrom="margin">
                    <wp14:pctHeight>0</wp14:pctHeight>
                  </wp14:sizeRelV>
                </wp:anchor>
              </w:drawing>
            </w:r>
          </w:p>
          <w:p w14:paraId="4242351B" w14:textId="00419B1E" w:rsidR="00F448FB" w:rsidRPr="00AC76B1" w:rsidRDefault="00F448FB" w:rsidP="00F448FB">
            <w:pPr>
              <w:tabs>
                <w:tab w:val="left" w:pos="709"/>
                <w:tab w:val="left" w:pos="851"/>
              </w:tabs>
              <w:ind w:left="0" w:firstLine="0"/>
              <w:rPr>
                <w:rFonts w:ascii="Verdana" w:hAnsi="Verdana" w:cstheme="minorBidi"/>
                <w:color w:val="auto"/>
                <w:sz w:val="18"/>
                <w:szCs w:val="18"/>
              </w:rPr>
            </w:pPr>
          </w:p>
          <w:p w14:paraId="34E1F3A2" w14:textId="319116F7" w:rsidR="00F448FB" w:rsidRPr="00AC76B1" w:rsidRDefault="00F448FB" w:rsidP="00F448FB">
            <w:pPr>
              <w:tabs>
                <w:tab w:val="left" w:pos="709"/>
                <w:tab w:val="left" w:pos="851"/>
              </w:tabs>
              <w:ind w:left="0" w:firstLine="0"/>
              <w:rPr>
                <w:rFonts w:ascii="Verdana" w:hAnsi="Verdana" w:cstheme="minorBidi"/>
                <w:color w:val="auto"/>
                <w:sz w:val="18"/>
                <w:szCs w:val="18"/>
              </w:rPr>
            </w:pPr>
          </w:p>
        </w:tc>
        <w:tc>
          <w:tcPr>
            <w:tcW w:w="6039" w:type="dxa"/>
            <w:vMerge/>
          </w:tcPr>
          <w:p w14:paraId="5B4C4D77" w14:textId="77777777" w:rsidR="00B80A1F" w:rsidRPr="00AC76B1" w:rsidRDefault="00B80A1F" w:rsidP="00DD7FB6">
            <w:pPr>
              <w:tabs>
                <w:tab w:val="left" w:pos="709"/>
                <w:tab w:val="left" w:pos="851"/>
              </w:tabs>
              <w:spacing w:before="120"/>
              <w:ind w:left="0" w:firstLine="0"/>
              <w:rPr>
                <w:rFonts w:ascii="Verdana" w:hAnsi="Verdana" w:cstheme="minorBidi"/>
                <w:color w:val="auto"/>
                <w:sz w:val="14"/>
                <w:szCs w:val="14"/>
              </w:rPr>
            </w:pPr>
          </w:p>
        </w:tc>
      </w:tr>
      <w:tr w:rsidR="00E95D3D" w:rsidRPr="00AC76B1" w14:paraId="6EC2365A" w14:textId="77777777" w:rsidTr="00CD1A26">
        <w:trPr>
          <w:trHeight w:val="188"/>
        </w:trPr>
        <w:tc>
          <w:tcPr>
            <w:tcW w:w="3708" w:type="dxa"/>
            <w:vMerge/>
          </w:tcPr>
          <w:p w14:paraId="7B29DE1C" w14:textId="77777777" w:rsidR="00B80A1F" w:rsidRPr="00AC76B1" w:rsidRDefault="00B80A1F" w:rsidP="00DD7FB6">
            <w:pPr>
              <w:tabs>
                <w:tab w:val="left" w:pos="709"/>
                <w:tab w:val="left" w:pos="851"/>
              </w:tabs>
              <w:ind w:left="0" w:firstLine="0"/>
              <w:rPr>
                <w:rFonts w:ascii="Verdana" w:hAnsi="Verdana" w:cstheme="minorBidi"/>
                <w:b/>
                <w:bCs/>
                <w:i/>
                <w:iCs/>
                <w:color w:val="auto"/>
                <w:sz w:val="20"/>
                <w:szCs w:val="20"/>
              </w:rPr>
            </w:pPr>
          </w:p>
        </w:tc>
        <w:tc>
          <w:tcPr>
            <w:tcW w:w="6039" w:type="dxa"/>
            <w:tcBorders>
              <w:top w:val="nil"/>
            </w:tcBorders>
          </w:tcPr>
          <w:p w14:paraId="36A4962A" w14:textId="77777777" w:rsidR="00D10CE7" w:rsidRDefault="00D10CE7" w:rsidP="00F57E8D">
            <w:pPr>
              <w:tabs>
                <w:tab w:val="left" w:pos="709"/>
                <w:tab w:val="left" w:pos="851"/>
              </w:tabs>
              <w:ind w:left="0" w:firstLine="0"/>
              <w:rPr>
                <w:rFonts w:ascii="Verdana" w:hAnsi="Verdana" w:cstheme="minorHAnsi"/>
                <w:i/>
                <w:color w:val="auto"/>
              </w:rPr>
            </w:pPr>
          </w:p>
          <w:p w14:paraId="0C518BD5" w14:textId="77777777" w:rsidR="00304FE3" w:rsidRDefault="00304FE3" w:rsidP="00F57E8D">
            <w:pPr>
              <w:tabs>
                <w:tab w:val="left" w:pos="709"/>
                <w:tab w:val="left" w:pos="851"/>
              </w:tabs>
              <w:ind w:left="0" w:firstLine="0"/>
              <w:rPr>
                <w:rFonts w:ascii="Verdana" w:hAnsi="Verdana" w:cstheme="minorHAnsi"/>
                <w:i/>
                <w:color w:val="auto"/>
              </w:rPr>
            </w:pPr>
          </w:p>
          <w:p w14:paraId="2F7C00B9" w14:textId="77777777" w:rsidR="00304FE3" w:rsidRDefault="00304FE3" w:rsidP="00F57E8D">
            <w:pPr>
              <w:tabs>
                <w:tab w:val="left" w:pos="709"/>
                <w:tab w:val="left" w:pos="851"/>
              </w:tabs>
              <w:ind w:left="0" w:firstLine="0"/>
              <w:rPr>
                <w:rFonts w:ascii="Verdana" w:hAnsi="Verdana" w:cstheme="minorHAnsi"/>
                <w:i/>
                <w:color w:val="auto"/>
              </w:rPr>
            </w:pPr>
          </w:p>
          <w:p w14:paraId="4FAFCAEC" w14:textId="77777777" w:rsidR="00304FE3" w:rsidRDefault="00304FE3" w:rsidP="00F57E8D">
            <w:pPr>
              <w:tabs>
                <w:tab w:val="left" w:pos="709"/>
                <w:tab w:val="left" w:pos="851"/>
              </w:tabs>
              <w:ind w:left="0" w:firstLine="0"/>
              <w:rPr>
                <w:rFonts w:ascii="Verdana" w:hAnsi="Verdana" w:cstheme="minorHAnsi"/>
                <w:i/>
                <w:color w:val="auto"/>
              </w:rPr>
            </w:pPr>
          </w:p>
          <w:p w14:paraId="35A1AF6D" w14:textId="77777777" w:rsidR="00304FE3" w:rsidRDefault="00304FE3" w:rsidP="00F57E8D">
            <w:pPr>
              <w:tabs>
                <w:tab w:val="left" w:pos="709"/>
                <w:tab w:val="left" w:pos="851"/>
              </w:tabs>
              <w:ind w:left="0" w:firstLine="0"/>
              <w:rPr>
                <w:rFonts w:ascii="Verdana" w:hAnsi="Verdana" w:cstheme="minorHAnsi"/>
                <w:i/>
                <w:color w:val="auto"/>
              </w:rPr>
            </w:pPr>
          </w:p>
          <w:p w14:paraId="52225387" w14:textId="77777777" w:rsidR="00304FE3" w:rsidRDefault="00304FE3" w:rsidP="00F57E8D">
            <w:pPr>
              <w:tabs>
                <w:tab w:val="left" w:pos="709"/>
                <w:tab w:val="left" w:pos="851"/>
              </w:tabs>
              <w:ind w:left="0" w:firstLine="0"/>
              <w:rPr>
                <w:rFonts w:ascii="Verdana" w:hAnsi="Verdana" w:cstheme="minorHAnsi"/>
                <w:i/>
                <w:color w:val="auto"/>
              </w:rPr>
            </w:pPr>
          </w:p>
          <w:p w14:paraId="3E26BA34" w14:textId="16D3B062" w:rsidR="00B80A1F" w:rsidRPr="00AC76B1" w:rsidRDefault="00B80A1F" w:rsidP="00F57E8D">
            <w:pPr>
              <w:tabs>
                <w:tab w:val="left" w:pos="709"/>
                <w:tab w:val="left" w:pos="851"/>
              </w:tabs>
              <w:ind w:left="0" w:firstLine="0"/>
              <w:rPr>
                <w:rFonts w:ascii="Verdana" w:hAnsi="Verdana" w:cstheme="minorBidi"/>
                <w:color w:val="auto"/>
              </w:rPr>
            </w:pPr>
            <w:r w:rsidRPr="00AC76B1">
              <w:rPr>
                <w:rFonts w:ascii="Verdana" w:hAnsi="Verdana" w:cstheme="minorHAnsi"/>
                <w:i/>
                <w:color w:val="auto"/>
              </w:rPr>
              <w:t>© 20</w:t>
            </w:r>
            <w:r w:rsidR="00234E80" w:rsidRPr="00AC76B1">
              <w:rPr>
                <w:rFonts w:ascii="Verdana" w:hAnsi="Verdana" w:cstheme="minorHAnsi"/>
                <w:i/>
                <w:color w:val="auto"/>
              </w:rPr>
              <w:t>2</w:t>
            </w:r>
            <w:r w:rsidR="00F57E8D" w:rsidRPr="00AC76B1">
              <w:rPr>
                <w:rFonts w:ascii="Verdana" w:hAnsi="Verdana" w:cstheme="minorHAnsi"/>
                <w:i/>
                <w:color w:val="auto"/>
              </w:rPr>
              <w:t>3</w:t>
            </w:r>
            <w:r w:rsidRPr="00AC76B1">
              <w:rPr>
                <w:rFonts w:ascii="Verdana" w:hAnsi="Verdana" w:cstheme="minorHAnsi"/>
                <w:i/>
                <w:color w:val="auto"/>
              </w:rPr>
              <w:t xml:space="preserve"> The Authors, Published by </w:t>
            </w:r>
            <w:proofErr w:type="spellStart"/>
            <w:r w:rsidRPr="00AC76B1">
              <w:rPr>
                <w:rFonts w:ascii="Verdana" w:hAnsi="Verdana" w:cstheme="minorHAnsi"/>
                <w:i/>
                <w:color w:val="auto"/>
              </w:rPr>
              <w:t>iRASD</w:t>
            </w:r>
            <w:proofErr w:type="spellEnd"/>
            <w:r w:rsidRPr="00AC76B1">
              <w:rPr>
                <w:rFonts w:ascii="Verdana" w:hAnsi="Verdana" w:cstheme="minorHAnsi"/>
                <w:i/>
                <w:color w:val="auto"/>
              </w:rPr>
              <w:t>. This is a</w:t>
            </w:r>
            <w:r w:rsidR="000B0509" w:rsidRPr="00AC76B1">
              <w:rPr>
                <w:rFonts w:ascii="Verdana" w:hAnsi="Verdana" w:cstheme="minorHAnsi"/>
                <w:i/>
                <w:color w:val="auto"/>
              </w:rPr>
              <w:t xml:space="preserve">n Open Access </w:t>
            </w:r>
            <w:r w:rsidR="000A2855" w:rsidRPr="00AC76B1">
              <w:rPr>
                <w:rFonts w:ascii="Verdana" w:hAnsi="Verdana" w:cstheme="minorHAnsi"/>
                <w:i/>
                <w:color w:val="auto"/>
              </w:rPr>
              <w:t>A</w:t>
            </w:r>
            <w:r w:rsidR="000B0509" w:rsidRPr="00AC76B1">
              <w:rPr>
                <w:rFonts w:ascii="Verdana" w:hAnsi="Verdana" w:cstheme="minorHAnsi"/>
                <w:i/>
                <w:color w:val="auto"/>
              </w:rPr>
              <w:t>rticle under the</w:t>
            </w:r>
            <w:r w:rsidR="00A67176" w:rsidRPr="00AC76B1">
              <w:rPr>
                <w:rFonts w:ascii="Verdana" w:hAnsi="Verdana" w:cstheme="minorHAnsi"/>
                <w:i/>
                <w:color w:val="auto"/>
              </w:rPr>
              <w:t xml:space="preserve"> </w:t>
            </w:r>
            <w:hyperlink r:id="rId15" w:history="1">
              <w:r w:rsidR="00A67176" w:rsidRPr="00AC76B1">
                <w:rPr>
                  <w:rStyle w:val="Hyperlink"/>
                  <w:rFonts w:ascii="Verdana" w:hAnsi="Verdana" w:cstheme="minorBidi"/>
                </w:rPr>
                <w:t>Creative Common Attribution Non-Commercial 4.0</w:t>
              </w:r>
            </w:hyperlink>
          </w:p>
        </w:tc>
      </w:tr>
    </w:tbl>
    <w:p w14:paraId="3A9216FF" w14:textId="4CED0F83" w:rsidR="00284D16" w:rsidRPr="00AC76B1" w:rsidRDefault="00BF71E1" w:rsidP="00BB395A">
      <w:pPr>
        <w:tabs>
          <w:tab w:val="left" w:pos="709"/>
          <w:tab w:val="left" w:pos="851"/>
        </w:tabs>
        <w:ind w:left="0" w:firstLine="0"/>
        <w:rPr>
          <w:rFonts w:ascii="Verdana" w:hAnsi="Verdana"/>
          <w:sz w:val="18"/>
          <w:szCs w:val="18"/>
        </w:rPr>
      </w:pPr>
      <w:r w:rsidRPr="00AC76B1">
        <w:rPr>
          <w:rFonts w:ascii="Verdana" w:hAnsi="Verdana" w:cstheme="minorBidi"/>
          <w:b/>
          <w:color w:val="auto"/>
          <w:sz w:val="18"/>
          <w:szCs w:val="18"/>
        </w:rPr>
        <w:t>Corresponding Author</w:t>
      </w:r>
      <w:r w:rsidR="005163D9" w:rsidRPr="00AC76B1">
        <w:rPr>
          <w:rFonts w:ascii="Verdana" w:hAnsi="Verdana" w:cstheme="minorBidi"/>
          <w:b/>
          <w:color w:val="auto"/>
          <w:sz w:val="18"/>
          <w:szCs w:val="18"/>
        </w:rPr>
        <w:t>’s Email</w:t>
      </w:r>
      <w:r w:rsidRPr="00AC76B1">
        <w:rPr>
          <w:rFonts w:ascii="Verdana" w:hAnsi="Verdana" w:cstheme="minorBidi"/>
          <w:b/>
          <w:color w:val="auto"/>
          <w:sz w:val="18"/>
          <w:szCs w:val="18"/>
        </w:rPr>
        <w:t>:</w:t>
      </w:r>
      <w:r w:rsidR="006C33F0" w:rsidRPr="00AC76B1">
        <w:rPr>
          <w:rFonts w:ascii="Verdana" w:hAnsi="Verdana"/>
          <w:sz w:val="18"/>
          <w:szCs w:val="18"/>
        </w:rPr>
        <w:t xml:space="preserve"> </w:t>
      </w:r>
      <w:hyperlink r:id="rId16" w:history="1">
        <w:r w:rsidR="005A49E0" w:rsidRPr="005A49E0">
          <w:rPr>
            <w:rStyle w:val="Hyperlink"/>
            <w:rFonts w:ascii="Verdana" w:eastAsiaTheme="minorEastAsia" w:hAnsi="Verdana" w:cstheme="minorBidi"/>
            <w:sz w:val="18"/>
            <w:szCs w:val="18"/>
          </w:rPr>
          <w:t>mukamil.shah@imsciences.edu.pk</w:t>
        </w:r>
      </w:hyperlink>
      <w:r w:rsidR="005A49E0" w:rsidRPr="005A49E0">
        <w:rPr>
          <w:rFonts w:ascii="Verdana" w:eastAsiaTheme="minorEastAsia" w:hAnsi="Verdana" w:cstheme="minorBidi"/>
          <w:sz w:val="18"/>
          <w:szCs w:val="18"/>
        </w:rPr>
        <w:tab/>
      </w:r>
    </w:p>
    <w:p w14:paraId="01F4339B" w14:textId="32EE7282" w:rsidR="00841277" w:rsidRPr="00AC76B1" w:rsidRDefault="00284D16" w:rsidP="00841277">
      <w:pPr>
        <w:tabs>
          <w:tab w:val="left" w:pos="709"/>
          <w:tab w:val="left" w:pos="851"/>
        </w:tabs>
        <w:ind w:left="0" w:firstLine="0"/>
        <w:rPr>
          <w:rFonts w:ascii="Verdana" w:hAnsi="Verdana" w:cs="Noto Sans"/>
          <w:sz w:val="18"/>
          <w:szCs w:val="18"/>
          <w:shd w:val="clear" w:color="auto" w:fill="FFFFFF"/>
        </w:rPr>
      </w:pPr>
      <w:r w:rsidRPr="00AC76B1">
        <w:rPr>
          <w:rFonts w:ascii="Verdana" w:hAnsi="Verdana" w:cstheme="minorBidi"/>
          <w:b/>
          <w:sz w:val="18"/>
          <w:szCs w:val="18"/>
        </w:rPr>
        <w:t>Citation:</w:t>
      </w:r>
      <w:r w:rsidRPr="00AC76B1">
        <w:rPr>
          <w:rFonts w:ascii="Verdana" w:hAnsi="Verdana" w:cstheme="minorBidi"/>
          <w:sz w:val="18"/>
          <w:szCs w:val="18"/>
        </w:rPr>
        <w:t xml:space="preserve"> </w:t>
      </w:r>
      <w:r w:rsidR="00E669FE" w:rsidRPr="00E669FE">
        <w:rPr>
          <w:rFonts w:ascii="Verdana" w:hAnsi="Verdana" w:cs="Noto Sans"/>
          <w:sz w:val="18"/>
          <w:szCs w:val="18"/>
          <w:shd w:val="clear" w:color="auto" w:fill="FFFFFF"/>
        </w:rPr>
        <w:t>Waqar, Shah, M., &amp; Zia, M. (2023). The Effect of Demographic Characteristics and Personality Traits on Financial Risk Tolerance. A Case Study of Lower Dir. </w:t>
      </w:r>
      <w:r w:rsidR="00E669FE" w:rsidRPr="00E669FE">
        <w:rPr>
          <w:rFonts w:ascii="Verdana" w:hAnsi="Verdana" w:cs="Noto Sans"/>
          <w:i/>
          <w:iCs/>
          <w:sz w:val="18"/>
          <w:szCs w:val="18"/>
          <w:shd w:val="clear" w:color="auto" w:fill="FFFFFF"/>
        </w:rPr>
        <w:t>IRASD Journal of Economics</w:t>
      </w:r>
      <w:r w:rsidR="00E669FE" w:rsidRPr="00E669FE">
        <w:rPr>
          <w:rFonts w:ascii="Verdana" w:hAnsi="Verdana" w:cs="Noto Sans"/>
          <w:sz w:val="18"/>
          <w:szCs w:val="18"/>
          <w:shd w:val="clear" w:color="auto" w:fill="FFFFFF"/>
        </w:rPr>
        <w:t>, </w:t>
      </w:r>
      <w:r w:rsidR="00E669FE" w:rsidRPr="00E669FE">
        <w:rPr>
          <w:rFonts w:ascii="Verdana" w:hAnsi="Verdana" w:cs="Noto Sans"/>
          <w:i/>
          <w:iCs/>
          <w:sz w:val="18"/>
          <w:szCs w:val="18"/>
          <w:shd w:val="clear" w:color="auto" w:fill="FFFFFF"/>
        </w:rPr>
        <w:t>5</w:t>
      </w:r>
      <w:r w:rsidR="00E669FE" w:rsidRPr="00E669FE">
        <w:rPr>
          <w:rFonts w:ascii="Verdana" w:hAnsi="Verdana" w:cs="Noto Sans"/>
          <w:sz w:val="18"/>
          <w:szCs w:val="18"/>
          <w:shd w:val="clear" w:color="auto" w:fill="FFFFFF"/>
        </w:rPr>
        <w:t>(3), 794–811.</w:t>
      </w:r>
      <w:r w:rsidR="00841277" w:rsidRPr="00FE5557">
        <w:rPr>
          <w:rFonts w:ascii="Verdana" w:hAnsi="Verdana" w:cs="Noto Sans"/>
          <w:sz w:val="20"/>
          <w:szCs w:val="20"/>
          <w:shd w:val="clear" w:color="auto" w:fill="FFFFFF"/>
        </w:rPr>
        <w:t xml:space="preserve"> </w:t>
      </w:r>
      <w:hyperlink r:id="rId17" w:history="1">
        <w:r w:rsidR="00D91B7C" w:rsidRPr="00BA5919">
          <w:rPr>
            <w:rStyle w:val="Hyperlink"/>
            <w:rFonts w:ascii="Verdana" w:hAnsi="Verdana" w:cs="Noto Sans"/>
            <w:sz w:val="18"/>
            <w:szCs w:val="18"/>
            <w:shd w:val="clear" w:color="auto" w:fill="FFFFFF"/>
          </w:rPr>
          <w:t>https://doi.org/10.52131/joe.2023.0503.016</w:t>
        </w:r>
        <w:r w:rsidR="00E669FE">
          <w:rPr>
            <w:rStyle w:val="Hyperlink"/>
            <w:rFonts w:ascii="Verdana" w:hAnsi="Verdana" w:cs="Noto Sans"/>
            <w:sz w:val="18"/>
            <w:szCs w:val="18"/>
            <w:shd w:val="clear" w:color="auto" w:fill="FFFFFF"/>
          </w:rPr>
          <w:t>2</w:t>
        </w:r>
      </w:hyperlink>
    </w:p>
    <w:p w14:paraId="077491C4" w14:textId="77777777" w:rsidR="00B44D91" w:rsidRDefault="00B44D91" w:rsidP="00B44D91">
      <w:pPr>
        <w:pStyle w:val="Heading2"/>
        <w:spacing w:before="0"/>
        <w:ind w:left="0" w:firstLine="0"/>
        <w:rPr>
          <w:rFonts w:ascii="Verdana" w:hAnsi="Verdana" w:cs="Times New Roman"/>
          <w:color w:val="000000" w:themeColor="text1"/>
          <w:sz w:val="20"/>
          <w:szCs w:val="20"/>
        </w:rPr>
      </w:pPr>
      <w:bookmarkStart w:id="4" w:name="_Toc495534530"/>
      <w:bookmarkStart w:id="5" w:name="_Toc122817469"/>
    </w:p>
    <w:p w14:paraId="1DFAF5D0" w14:textId="77777777" w:rsidR="007E1F8A" w:rsidRPr="007E1F8A" w:rsidRDefault="007E1F8A" w:rsidP="007E1F8A">
      <w:pPr>
        <w:pStyle w:val="ListParagraph"/>
        <w:numPr>
          <w:ilvl w:val="0"/>
          <w:numId w:val="39"/>
        </w:numPr>
        <w:ind w:hanging="720"/>
        <w:jc w:val="left"/>
        <w:rPr>
          <w:rFonts w:ascii="Verdana" w:hAnsi="Verdana"/>
          <w:b/>
          <w:sz w:val="22"/>
          <w:szCs w:val="22"/>
        </w:rPr>
      </w:pPr>
      <w:r w:rsidRPr="007E1F8A">
        <w:rPr>
          <w:rFonts w:ascii="Verdana" w:hAnsi="Verdana"/>
          <w:b/>
          <w:sz w:val="22"/>
          <w:szCs w:val="22"/>
        </w:rPr>
        <w:t xml:space="preserve">Introduction </w:t>
      </w:r>
    </w:p>
    <w:p w14:paraId="30EB1C94" w14:textId="77777777" w:rsidR="007E1F8A" w:rsidRDefault="007E1F8A" w:rsidP="007E1F8A">
      <w:pPr>
        <w:ind w:left="0" w:firstLine="720"/>
        <w:rPr>
          <w:rFonts w:ascii="Verdana" w:hAnsi="Verdana"/>
          <w:sz w:val="20"/>
          <w:szCs w:val="20"/>
        </w:rPr>
      </w:pPr>
    </w:p>
    <w:p w14:paraId="01518D75" w14:textId="77777777" w:rsidR="007E1F8A" w:rsidRDefault="007E1F8A" w:rsidP="007E1F8A">
      <w:pPr>
        <w:ind w:left="0" w:firstLine="720"/>
        <w:rPr>
          <w:rFonts w:ascii="Verdana" w:hAnsi="Verdana"/>
          <w:sz w:val="20"/>
          <w:szCs w:val="20"/>
        </w:rPr>
      </w:pPr>
      <w:r w:rsidRPr="00195E39">
        <w:rPr>
          <w:rFonts w:ascii="Verdana" w:hAnsi="Verdana"/>
          <w:sz w:val="20"/>
          <w:szCs w:val="20"/>
        </w:rPr>
        <w:t xml:space="preserve">The advancement of technology in financial markets has led to the emergence of complexities that make it difficult to accurately measure and understand the factors that influence individuals' tolerance for financial risk. As investors navigate economic uncertainty and investment opportunities, their risk preferences play a crucial role in determining their financial well-being and the choices they make regarding their investment portfolios. </w:t>
      </w:r>
    </w:p>
    <w:p w14:paraId="60A96E88" w14:textId="77777777" w:rsidR="007E1F8A" w:rsidRDefault="007E1F8A" w:rsidP="007E1F8A">
      <w:pPr>
        <w:ind w:left="0" w:firstLine="720"/>
        <w:rPr>
          <w:rFonts w:ascii="Verdana" w:hAnsi="Verdana"/>
          <w:sz w:val="20"/>
          <w:szCs w:val="20"/>
        </w:rPr>
      </w:pPr>
    </w:p>
    <w:p w14:paraId="2DDEEEE5" w14:textId="652AB7DC" w:rsidR="007E1F8A" w:rsidRDefault="007E1F8A" w:rsidP="00A60A82">
      <w:pPr>
        <w:ind w:left="0" w:firstLine="720"/>
        <w:rPr>
          <w:rStyle w:val="c-pjlv"/>
          <w:rFonts w:ascii="Verdana" w:hAnsi="Verdana"/>
          <w:sz w:val="20"/>
          <w:szCs w:val="20"/>
        </w:rPr>
      </w:pPr>
      <w:r w:rsidRPr="00195E39">
        <w:rPr>
          <w:rStyle w:val="c-pjlv"/>
          <w:rFonts w:ascii="Verdana" w:hAnsi="Verdana"/>
          <w:sz w:val="20"/>
          <w:szCs w:val="20"/>
        </w:rPr>
        <w:t xml:space="preserve">The prominence of finance theories grounded in neoclassical economics, which emphasize wealth maximization, rational behavior, and the efficient market hypothesis, has been waning. In 1952, Markowitz pioneered the idea of complete rationality in portfolio selection, aligning it with the efficient market hypothesis. Fama subsequently contended that markets are efficient when stock prices entirely reflect available information (1970). These theories presumed that individuals make rational financial decisions. However, behavioral </w:t>
      </w:r>
      <w:r w:rsidRPr="00195E39">
        <w:rPr>
          <w:rStyle w:val="c-pjlv"/>
          <w:rFonts w:ascii="Verdana" w:hAnsi="Verdana"/>
          <w:sz w:val="20"/>
          <w:szCs w:val="20"/>
        </w:rPr>
        <w:lastRenderedPageBreak/>
        <w:t xml:space="preserve">finance challenges this notion, positing that laypeople's financial choices are swayed by cognitive biases and emotions </w:t>
      </w:r>
      <w:r w:rsidR="00492614">
        <w:rPr>
          <w:rStyle w:val="c-pjlv"/>
          <w:rFonts w:ascii="Verdana" w:hAnsi="Verdana"/>
          <w:sz w:val="20"/>
          <w:szCs w:val="20"/>
        </w:rPr>
        <w:fldChar w:fldCharType="begin"/>
      </w:r>
      <w:r w:rsidR="00492614">
        <w:rPr>
          <w:rStyle w:val="c-pjlv"/>
          <w:rFonts w:ascii="Verdana" w:hAnsi="Verdana"/>
          <w:sz w:val="20"/>
          <w:szCs w:val="20"/>
        </w:rPr>
        <w:instrText xml:space="preserve"> ADDIN EN.CITE &lt;EndNote&gt;&lt;Cite&gt;&lt;Author&gt;Kahneman&lt;/Author&gt;&lt;Year&gt;2013&lt;/Year&gt;&lt;RecNum&gt;1&lt;/RecNum&gt;&lt;DisplayText&gt;(Kahneman &amp;amp; Tversky, 2013)&lt;/DisplayText&gt;&lt;record&gt;&lt;rec-number&gt;1&lt;/rec-number&gt;&lt;foreign-keys&gt;&lt;key app="EN" db-id="v5ve2td2jxzxrxee0pdpwrv99fpre2frs20r" timestamp="1703940492"&gt;1&lt;/key&gt;&lt;/foreign-keys&gt;&lt;ref-type name="Book Section"&gt;5&lt;/ref-type&gt;&lt;contributors&gt;&lt;authors&gt;&lt;author&gt;Kahneman, Daniel&lt;/author&gt;&lt;author&gt;Tversky, Amos&lt;/author&gt;&lt;/authors&gt;&lt;/contributors&gt;&lt;titles&gt;&lt;title&gt;Prospect theory: An analysis of decision under risk&lt;/title&gt;&lt;secondary-title&gt;Handbook of the fundamentals of financial decision making: Part I&lt;/secondary-title&gt;&lt;/titles&gt;&lt;pages&gt;99-127&lt;/pages&gt;&lt;dates&gt;&lt;year&gt;2013&lt;/year&gt;&lt;/dates&gt;&lt;publisher&gt;World Scientific&lt;/publisher&gt;&lt;urls&gt;&lt;/urls&gt;&lt;electronic-resource-num&gt;https://doi.org/10.1142/9789814417358_0006&lt;/electronic-resource-num&gt;&lt;/record&gt;&lt;/Cite&gt;&lt;/EndNote&gt;</w:instrText>
      </w:r>
      <w:r w:rsidR="00492614">
        <w:rPr>
          <w:rStyle w:val="c-pjlv"/>
          <w:rFonts w:ascii="Verdana" w:hAnsi="Verdana"/>
          <w:sz w:val="20"/>
          <w:szCs w:val="20"/>
        </w:rPr>
        <w:fldChar w:fldCharType="separate"/>
      </w:r>
      <w:r w:rsidR="00492614">
        <w:rPr>
          <w:rStyle w:val="c-pjlv"/>
          <w:rFonts w:ascii="Verdana" w:hAnsi="Verdana"/>
          <w:noProof/>
          <w:sz w:val="20"/>
          <w:szCs w:val="20"/>
        </w:rPr>
        <w:t>(</w:t>
      </w:r>
      <w:hyperlink w:anchor="_ENREF_35" w:tooltip="Kahneman, 2013 #1" w:history="1">
        <w:r w:rsidR="004372FE">
          <w:rPr>
            <w:rStyle w:val="c-pjlv"/>
            <w:rFonts w:ascii="Verdana" w:hAnsi="Verdana"/>
            <w:noProof/>
            <w:sz w:val="20"/>
            <w:szCs w:val="20"/>
          </w:rPr>
          <w:t>Kahneman &amp; Tversky, 2013</w:t>
        </w:r>
      </w:hyperlink>
      <w:r w:rsidR="00492614">
        <w:rPr>
          <w:rStyle w:val="c-pjlv"/>
          <w:rFonts w:ascii="Verdana" w:hAnsi="Verdana"/>
          <w:noProof/>
          <w:sz w:val="20"/>
          <w:szCs w:val="20"/>
        </w:rPr>
        <w:t>)</w:t>
      </w:r>
      <w:r w:rsidR="00492614">
        <w:rPr>
          <w:rStyle w:val="c-pjlv"/>
          <w:rFonts w:ascii="Verdana" w:hAnsi="Verdana"/>
          <w:sz w:val="20"/>
          <w:szCs w:val="20"/>
        </w:rPr>
        <w:fldChar w:fldCharType="end"/>
      </w:r>
      <w:r w:rsidR="00492614">
        <w:rPr>
          <w:rStyle w:val="c-pjlv"/>
          <w:rFonts w:ascii="Verdana" w:hAnsi="Verdana"/>
          <w:sz w:val="20"/>
          <w:szCs w:val="20"/>
        </w:rPr>
        <w:t>.</w:t>
      </w:r>
      <w:r w:rsidR="005534E0">
        <w:rPr>
          <w:rStyle w:val="c-pjlv"/>
          <w:rFonts w:ascii="Verdana" w:hAnsi="Verdana"/>
          <w:sz w:val="20"/>
          <w:szCs w:val="20"/>
        </w:rPr>
        <w:t xml:space="preserve"> </w:t>
      </w:r>
    </w:p>
    <w:p w14:paraId="199F09DB" w14:textId="77777777" w:rsidR="00492614" w:rsidRDefault="00492614" w:rsidP="00492614">
      <w:pPr>
        <w:ind w:left="0" w:firstLine="720"/>
        <w:rPr>
          <w:rStyle w:val="c-pjlv"/>
          <w:rFonts w:ascii="Verdana" w:hAnsi="Verdana"/>
          <w:sz w:val="20"/>
          <w:szCs w:val="20"/>
        </w:rPr>
      </w:pPr>
    </w:p>
    <w:p w14:paraId="0D7244D8" w14:textId="037C86A5" w:rsidR="007E1F8A" w:rsidRDefault="007E1F8A" w:rsidP="00A60A82">
      <w:pPr>
        <w:ind w:left="0" w:firstLine="720"/>
        <w:rPr>
          <w:rFonts w:ascii="Verdana" w:hAnsi="Verdana"/>
          <w:sz w:val="20"/>
          <w:szCs w:val="20"/>
        </w:rPr>
      </w:pPr>
      <w:r w:rsidRPr="00195E39">
        <w:rPr>
          <w:rFonts w:ascii="Verdana" w:hAnsi="Verdana"/>
          <w:sz w:val="20"/>
          <w:szCs w:val="20"/>
        </w:rPr>
        <w:t>These seminal propositions prompted a paradigm shift, leading researchers to develop a new framework that incorporates the behavioral aspects of individuals into financial decision-making. This framework, enriched by the integration of neuroscience and psychology, includes various behavioral concepts such as personality and demographics. Scholars like</w:t>
      </w:r>
      <w:r w:rsidR="00684EA8">
        <w:rPr>
          <w:rFonts w:ascii="Verdana" w:hAnsi="Verdana"/>
          <w:sz w:val="20"/>
          <w:szCs w:val="20"/>
        </w:rPr>
        <w:t xml:space="preserve"> </w:t>
      </w:r>
      <w:hyperlink w:anchor="_ENREF_4" w:tooltip="Almlund, 2011 #2"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AuthorYear="1"&gt;&lt;Author&gt;Almlund&lt;/Author&gt;&lt;Year&gt;2011&lt;/Year&gt;&lt;RecNum&gt;2&lt;/RecNum&gt;&lt;DisplayText&gt;Almlund, Duckworth, Heckman, and Kautz (2011)&lt;/DisplayText&gt;&lt;record&gt;&lt;rec-number&gt;2&lt;/rec-number&gt;&lt;foreign-keys&gt;&lt;key app="EN" db-id="v5ve2td2jxzxrxee0pdpwrv99fpre2frs20r" timestamp="1703940635"&gt;2&lt;/key&gt;&lt;/foreign-keys&gt;&lt;ref-type name="Book Section"&gt;5&lt;/ref-type&gt;&lt;contributors&gt;&lt;authors&gt;&lt;author&gt;Almlund, Mathilde&lt;/author&gt;&lt;author&gt;Duckworth, Angela Lee&lt;/author&gt;&lt;author&gt;Heckman, James&lt;/author&gt;&lt;author&gt;Kautz, Tim&lt;/author&gt;&lt;/authors&gt;&lt;/contributors&gt;&lt;titles&gt;&lt;title&gt;Personality psychology and economics&lt;/title&gt;&lt;secondary-title&gt;Handbook of the Economics of Education&lt;/secondary-title&gt;&lt;/titles&gt;&lt;pages&gt;1-181&lt;/pages&gt;&lt;volume&gt;4&lt;/volume&gt;&lt;dates&gt;&lt;year&gt;2011&lt;/year&gt;&lt;/dates&gt;&lt;publisher&gt;Elsevier&lt;/publisher&gt;&lt;isbn&gt;1574-0692&lt;/isbn&gt;&lt;urls&gt;&lt;/urls&gt;&lt;electronic-resource-num&gt;https://doi.org/10.1016/B978-0-444-53444-6.00001-8&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Almlund, Duckworth, Heckman, and Kautz (2011)</w:t>
        </w:r>
        <w:r w:rsidR="004372FE">
          <w:rPr>
            <w:rFonts w:ascii="Verdana" w:hAnsi="Verdana"/>
            <w:sz w:val="20"/>
            <w:szCs w:val="20"/>
          </w:rPr>
          <w:fldChar w:fldCharType="end"/>
        </w:r>
      </w:hyperlink>
      <w:r w:rsidR="00684EA8">
        <w:rPr>
          <w:rFonts w:ascii="Verdana" w:hAnsi="Verdana"/>
          <w:sz w:val="20"/>
          <w:szCs w:val="20"/>
        </w:rPr>
        <w:t xml:space="preserve">, </w:t>
      </w:r>
      <w:r w:rsidRPr="00195E39">
        <w:rPr>
          <w:rFonts w:ascii="Verdana" w:hAnsi="Verdana"/>
          <w:sz w:val="20"/>
          <w:szCs w:val="20"/>
        </w:rPr>
        <w:t>along with</w:t>
      </w:r>
      <w:r w:rsidR="00566630">
        <w:rPr>
          <w:rFonts w:ascii="Verdana" w:hAnsi="Verdana"/>
          <w:sz w:val="20"/>
          <w:szCs w:val="20"/>
        </w:rPr>
        <w:t xml:space="preserve"> </w:t>
      </w:r>
      <w:hyperlink w:anchor="_ENREF_59" w:tooltip="Rustichini, 2016 #3"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AuthorYear="1"&gt;&lt;Author&gt;Rustichini&lt;/Author&gt;&lt;Year&gt;2016&lt;/Year&gt;&lt;RecNum&gt;3&lt;/RecNum&gt;&lt;DisplayText&gt;Rustichini, DeYoung, Anderson, and Burks (2016)&lt;/DisplayText&gt;&lt;record&gt;&lt;rec-number&gt;3&lt;/rec-number&gt;&lt;foreign-keys&gt;&lt;key app="EN" db-id="v5ve2td2jxzxrxee0pdpwrv99fpre2frs20r" timestamp="1703940746"&gt;3&lt;/key&gt;&lt;/foreign-keys&gt;&lt;ref-type name="Journal Article"&gt;17&lt;/ref-type&gt;&lt;contributors&gt;&lt;authors&gt;&lt;author&gt;Rustichini, Aldo&lt;/author&gt;&lt;author&gt;DeYoung, Colin G&lt;/author&gt;&lt;author&gt;Anderson, Jon E&lt;/author&gt;&lt;author&gt;Burks, Stephen V&lt;/author&gt;&lt;/authors&gt;&lt;/contributors&gt;&lt;titles&gt;&lt;title&gt;Toward the integration of personality theory and decision theory in explaining economic behavior: An experimental investigation&lt;/title&gt;&lt;secondary-title&gt;Journal of Behavioral and Experimental Economics&lt;/secondary-title&gt;&lt;/titles&gt;&lt;periodical&gt;&lt;full-title&gt;Journal of Behavioral and Experimental Economics&lt;/full-title&gt;&lt;/periodical&gt;&lt;pages&gt;122-137&lt;/pages&gt;&lt;volume&gt;64&lt;/volume&gt;&lt;number&gt;10&lt;/number&gt;&lt;dates&gt;&lt;year&gt;2016&lt;/year&gt;&lt;/dates&gt;&lt;isbn&gt;2214-8043&lt;/isbn&gt;&lt;urls&gt;&lt;/urls&gt;&lt;electronic-resource-num&gt;https://doi.org/10.1016/j.socec.2016.04.019&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Rustichini, DeYoung, Anderson, and Burks (2016)</w:t>
        </w:r>
        <w:r w:rsidR="004372FE">
          <w:rPr>
            <w:rFonts w:ascii="Verdana" w:hAnsi="Verdana"/>
            <w:sz w:val="20"/>
            <w:szCs w:val="20"/>
          </w:rPr>
          <w:fldChar w:fldCharType="end"/>
        </w:r>
      </w:hyperlink>
      <w:r w:rsidR="005246FA">
        <w:rPr>
          <w:rFonts w:ascii="Verdana" w:hAnsi="Verdana"/>
          <w:sz w:val="20"/>
          <w:szCs w:val="20"/>
        </w:rPr>
        <w:t xml:space="preserve">, </w:t>
      </w:r>
      <w:r w:rsidRPr="00195E39">
        <w:rPr>
          <w:rFonts w:ascii="Verdana" w:hAnsi="Verdana"/>
          <w:sz w:val="20"/>
          <w:szCs w:val="20"/>
        </w:rPr>
        <w:t>have explored the influence of personality traits on investment decision-making. Additionally,</w:t>
      </w:r>
      <w:r w:rsidR="009173C2">
        <w:rPr>
          <w:rFonts w:ascii="Verdana" w:hAnsi="Verdana"/>
          <w:sz w:val="20"/>
          <w:szCs w:val="20"/>
        </w:rPr>
        <w:t xml:space="preserve"> </w:t>
      </w:r>
      <w:hyperlink w:anchor="_ENREF_57" w:tooltip="Rizwanulhassan, 2021 #4"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AuthorYear="1"&gt;&lt;Author&gt;Rizwanulhassan&lt;/Author&gt;&lt;Year&gt;2021&lt;/Year&gt;&lt;RecNum&gt;4&lt;/RecNum&gt;&lt;DisplayText&gt;Rizwanulhassan, Mehboob, Hussain, and Ali (2021)&lt;/DisplayText&gt;&lt;record&gt;&lt;rec-number&gt;4&lt;/rec-number&gt;&lt;foreign-keys&gt;&lt;key app="EN" db-id="v5ve2td2jxzxrxee0pdpwrv99fpre2frs20r" timestamp="1703941198"&gt;4&lt;/key&gt;&lt;/foreign-keys&gt;&lt;ref-type name="Journal Article"&gt;17&lt;/ref-type&gt;&lt;contributors&gt;&lt;authors&gt;&lt;author&gt;Rizwanulhassan, M&lt;/author&gt;&lt;author&gt;Mehboob, Asim&lt;/author&gt;&lt;author&gt;Hussain, Mubashar&lt;/author&gt;&lt;author&gt;Ali, Shahid&lt;/author&gt;&lt;/authors&gt;&lt;/contributors&gt;&lt;titles&gt;&lt;title&gt;EFFECTS OF DEMOGRAPHIC FACTORS AND PERSONALITY TRAITS ON FINANCIAL RISK TOLERANCE: A CASE STUDY OF PAKISTAN&lt;/title&gt;&lt;secondary-title&gt;International Journal of Management (IJM)&lt;/secondary-title&gt;&lt;/titles&gt;&lt;periodical&gt;&lt;full-title&gt;International Journal of Management (IJM)&lt;/full-title&gt;&lt;/periodical&gt;&lt;volume&gt;12&lt;/volume&gt;&lt;number&gt;2&lt;/number&gt;&lt;dates&gt;&lt;year&gt;2021&lt;/year&gt;&lt;/dates&gt;&lt;urls&gt;&lt;/urls&gt;&lt;/record&gt;&lt;/Cite&gt;&lt;/EndNote&gt;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Rizwanulhassan, Mehboob, Hussain, and Ali (2021)</w:t>
        </w:r>
        <w:r w:rsidR="004372FE">
          <w:rPr>
            <w:rFonts w:ascii="Verdana" w:hAnsi="Verdana"/>
            <w:sz w:val="20"/>
            <w:szCs w:val="20"/>
          </w:rPr>
          <w:fldChar w:fldCharType="end"/>
        </w:r>
      </w:hyperlink>
      <w:r w:rsidR="009173C2">
        <w:rPr>
          <w:rFonts w:ascii="Verdana" w:hAnsi="Verdana"/>
          <w:sz w:val="20"/>
          <w:szCs w:val="20"/>
        </w:rPr>
        <w:t xml:space="preserve"> </w:t>
      </w:r>
      <w:r w:rsidRPr="00195E39">
        <w:rPr>
          <w:rFonts w:ascii="Verdana" w:hAnsi="Verdana"/>
          <w:sz w:val="20"/>
          <w:szCs w:val="20"/>
        </w:rPr>
        <w:t>posit a positive link between investment choices and personality characteristics. These diverse individual traits reflect personality dimensions and demographics, including age, sex, income, and</w:t>
      </w:r>
      <w:r w:rsidR="00BB1FC4">
        <w:rPr>
          <w:rFonts w:ascii="Verdana" w:hAnsi="Verdana"/>
          <w:sz w:val="20"/>
          <w:szCs w:val="20"/>
        </w:rPr>
        <w:t xml:space="preserve"> marital status, as explored by </w:t>
      </w:r>
      <w:hyperlink w:anchor="_ENREF_21" w:tooltip="Grable, 1997 #5"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AuthorYear="1"&gt;&lt;Author&gt;Grable&lt;/Author&gt;&lt;Year&gt;1997&lt;/Year&gt;&lt;RecNum&gt;5&lt;/RecNum&gt;&lt;DisplayText&gt;Grable (1997)&lt;/DisplayText&gt;&lt;record&gt;&lt;rec-number&gt;5&lt;/rec-number&gt;&lt;foreign-keys&gt;&lt;key app="EN" db-id="v5ve2td2jxzxrxee0pdpwrv99fpre2frs20r" timestamp="1703941297"&gt;5&lt;/key&gt;&lt;/foreign-keys&gt;&lt;ref-type name="Thesis"&gt;32&lt;/ref-type&gt;&lt;contributors&gt;&lt;authors&gt;&lt;author&gt;Grable, John E&lt;/author&gt;&lt;/authors&gt;&lt;/contributors&gt;&lt;titles&gt;&lt;title&gt;Investor risk tolerance: Testing the efficacy of demographics as differentiating and classifying factors&lt;/title&gt;&lt;/titles&gt;&lt;dates&gt;&lt;year&gt;1997&lt;/year&gt;&lt;/dates&gt;&lt;publisher&gt;Virginia Tech&lt;/publisher&gt;&lt;urls&gt;&lt;related-urls&gt;&lt;url&gt;http://hdl.handle.net/10919/30762&lt;/url&gt;&lt;/related-urls&gt;&lt;/urls&gt;&lt;/record&gt;&lt;/Cite&gt;&lt;/EndNote&gt;</w:instrText>
        </w:r>
        <w:r w:rsidR="004372FE">
          <w:rPr>
            <w:rFonts w:ascii="Verdana" w:hAnsi="Verdana"/>
            <w:sz w:val="20"/>
            <w:szCs w:val="20"/>
          </w:rPr>
          <w:fldChar w:fldCharType="separate"/>
        </w:r>
        <w:r w:rsidR="004372FE">
          <w:rPr>
            <w:rFonts w:ascii="Verdana" w:hAnsi="Verdana"/>
            <w:noProof/>
            <w:sz w:val="20"/>
            <w:szCs w:val="20"/>
          </w:rPr>
          <w:t>Grable (1997)</w:t>
        </w:r>
        <w:r w:rsidR="004372FE">
          <w:rPr>
            <w:rFonts w:ascii="Verdana" w:hAnsi="Verdana"/>
            <w:sz w:val="20"/>
            <w:szCs w:val="20"/>
          </w:rPr>
          <w:fldChar w:fldCharType="end"/>
        </w:r>
      </w:hyperlink>
      <w:r w:rsidRPr="00195E39">
        <w:rPr>
          <w:rFonts w:ascii="Verdana" w:hAnsi="Verdana"/>
          <w:sz w:val="20"/>
          <w:szCs w:val="20"/>
        </w:rPr>
        <w:t>,</w:t>
      </w:r>
      <w:r w:rsidR="00BB1FC4">
        <w:rPr>
          <w:rFonts w:ascii="Verdana" w:hAnsi="Verdana"/>
          <w:sz w:val="20"/>
          <w:szCs w:val="20"/>
        </w:rPr>
        <w:t xml:space="preserve"> </w:t>
      </w:r>
      <w:hyperlink w:anchor="_ENREF_10" w:tooltip="Bergkamp, 2018 #6"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AuthorYear="1"&gt;&lt;Author&gt;Bergkamp&lt;/Author&gt;&lt;Year&gt;2018&lt;/Year&gt;&lt;RecNum&gt;6&lt;/RecNum&gt;&lt;DisplayText&gt;Bergkamp, Impa, Asebedo, Fritz, and Jagadish (2018)&lt;/DisplayText&gt;&lt;record&gt;&lt;rec-number&gt;6&lt;/rec-number&gt;&lt;foreign-keys&gt;&lt;key app="EN" db-id="v5ve2td2jxzxrxee0pdpwrv99fpre2frs20r" timestamp="1703941437"&gt;6&lt;/key&gt;&lt;/foreign-keys&gt;&lt;ref-type name="Journal Article"&gt;17&lt;/ref-type&gt;&lt;contributors&gt;&lt;authors&gt;&lt;author&gt;Bergkamp, B&lt;/author&gt;&lt;author&gt;Impa, SM&lt;/author&gt;&lt;author&gt;Asebedo, AR&lt;/author&gt;&lt;author&gt;Fritz, AK&lt;/author&gt;&lt;author&gt;Jagadish, SV Krishna&lt;/author&gt;&lt;/authors&gt;&lt;/contributors&gt;&lt;titles&gt;&lt;title&gt;Prominent winter wheat varieties response to post-flowering heat stress under controlled chambers and field based heat tents&lt;/title&gt;&lt;secondary-title&gt;Field Crops Research&lt;/secondary-title&gt;&lt;/titles&gt;&lt;periodical&gt;&lt;full-title&gt;Field Crops Research&lt;/full-title&gt;&lt;/periodical&gt;&lt;pages&gt;143-152&lt;/pages&gt;&lt;volume&gt;222&lt;/volume&gt;&lt;number&gt;6&lt;/number&gt;&lt;dates&gt;&lt;year&gt;2018&lt;/year&gt;&lt;/dates&gt;&lt;isbn&gt;0378-4290&lt;/isbn&gt;&lt;urls&gt;&lt;/urls&gt;&lt;electronic-resource-num&gt;https://doi.org/10.1016/j.fcr.2018.03.009&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Bergkamp, Impa, Asebedo, Fritz, and Jagadish (2018)</w:t>
        </w:r>
        <w:r w:rsidR="004372FE">
          <w:rPr>
            <w:rFonts w:ascii="Verdana" w:hAnsi="Verdana"/>
            <w:sz w:val="20"/>
            <w:szCs w:val="20"/>
          </w:rPr>
          <w:fldChar w:fldCharType="end"/>
        </w:r>
      </w:hyperlink>
      <w:r w:rsidRPr="00195E39">
        <w:rPr>
          <w:rFonts w:ascii="Verdana" w:hAnsi="Verdana"/>
          <w:sz w:val="20"/>
          <w:szCs w:val="20"/>
        </w:rPr>
        <w:t xml:space="preserve">, and </w:t>
      </w:r>
      <w:r w:rsidR="00CE700B">
        <w:rPr>
          <w:rFonts w:ascii="Verdana" w:hAnsi="Verdana"/>
          <w:sz w:val="20"/>
          <w:szCs w:val="20"/>
        </w:rPr>
        <w:fldChar w:fldCharType="begin"/>
      </w:r>
      <w:r w:rsidR="00CE700B">
        <w:rPr>
          <w:rFonts w:ascii="Verdana" w:hAnsi="Verdana"/>
          <w:sz w:val="20"/>
          <w:szCs w:val="20"/>
        </w:rPr>
        <w:instrText xml:space="preserve"> ADDIN EN.CITE &lt;EndNote&gt;&lt;Cite&gt;&lt;Author&gt;Mehmood&lt;/Author&gt;&lt;Year&gt;2019&lt;/Year&gt;&lt;RecNum&gt;7&lt;/RecNum&gt;&lt;DisplayText&gt;(Mehmood, Akhter, Sadiq, Sultan, &amp;amp; Akbar, 2019)&lt;/DisplayText&gt;&lt;record&gt;&lt;rec-number&gt;7&lt;/rec-number&gt;&lt;foreign-keys&gt;&lt;key app="EN" db-id="v5ve2td2jxzxrxee0pdpwrv99fpre2frs20r" timestamp="1703941645"&gt;7&lt;/key&gt;&lt;/foreign-keys&gt;&lt;ref-type name="Journal Article"&gt;17&lt;/ref-type&gt;&lt;contributors&gt;&lt;authors&gt;&lt;author&gt;Mehmood, Amjad&lt;/author&gt;&lt;author&gt;Akhter, Khurram&lt;/author&gt;&lt;author&gt;Sadiq, Nadeem&lt;/author&gt;&lt;author&gt;Sultan, Mehboob&lt;/author&gt;&lt;author&gt;Akbar, Hajira&lt;/author&gt;&lt;/authors&gt;&lt;/contributors&gt;&lt;titles&gt;&lt;title&gt;DOUBLY COMMITTED SUB ARTERIAL VENTRICULAR SEPTAL DEEFCT DEVICE CLOSURE USING NIT-OCCLUD® PDA-R DEVICE: INITIAL EXPERIENCE IN PAKISTA&lt;/title&gt;&lt;secondary-title&gt;Pakistan Armed Forces Medical Journal&lt;/secondary-title&gt;&lt;/titles&gt;&lt;periodical&gt;&lt;full-title&gt;Pakistan Armed Forces Medical Journal&lt;/full-title&gt;&lt;/periodical&gt;&lt;pages&gt;S404-408&lt;/pages&gt;&lt;volume&gt;69&lt;/volume&gt;&lt;number&gt;Suppl-3&lt;/number&gt;&lt;dates&gt;&lt;year&gt;2019&lt;/year&gt;&lt;/dates&gt;&lt;isbn&gt;2411-8842&lt;/isbn&gt;&lt;urls&gt;&lt;/urls&gt;&lt;electronic-resource-num&gt;https://pafmj.org/PAFMJ/article/view/3551&lt;/electronic-resource-num&gt;&lt;/record&gt;&lt;/Cite&gt;&lt;/EndNote&gt;</w:instrText>
      </w:r>
      <w:r w:rsidR="00CE700B">
        <w:rPr>
          <w:rFonts w:ascii="Verdana" w:hAnsi="Verdana"/>
          <w:sz w:val="20"/>
          <w:szCs w:val="20"/>
        </w:rPr>
        <w:fldChar w:fldCharType="separate"/>
      </w:r>
      <w:r w:rsidR="00CE700B">
        <w:rPr>
          <w:rFonts w:ascii="Verdana" w:hAnsi="Verdana"/>
          <w:noProof/>
          <w:sz w:val="20"/>
          <w:szCs w:val="20"/>
        </w:rPr>
        <w:t>(</w:t>
      </w:r>
      <w:hyperlink w:anchor="_ENREF_43" w:tooltip="Mehmood, 2019 #7" w:history="1">
        <w:r w:rsidR="004372FE">
          <w:rPr>
            <w:rFonts w:ascii="Verdana" w:hAnsi="Verdana"/>
            <w:noProof/>
            <w:sz w:val="20"/>
            <w:szCs w:val="20"/>
          </w:rPr>
          <w:t>Mehmood, Akhter, Sadiq, Sultan, &amp; Akbar, 2019</w:t>
        </w:r>
      </w:hyperlink>
      <w:r w:rsidR="00CE700B">
        <w:rPr>
          <w:rFonts w:ascii="Verdana" w:hAnsi="Verdana"/>
          <w:noProof/>
          <w:sz w:val="20"/>
          <w:szCs w:val="20"/>
        </w:rPr>
        <w:t>)</w:t>
      </w:r>
      <w:r w:rsidR="00CE700B">
        <w:rPr>
          <w:rFonts w:ascii="Verdana" w:hAnsi="Verdana"/>
          <w:sz w:val="20"/>
          <w:szCs w:val="20"/>
        </w:rPr>
        <w:fldChar w:fldCharType="end"/>
      </w:r>
      <w:r w:rsidR="00CE700B">
        <w:rPr>
          <w:rFonts w:ascii="Verdana" w:hAnsi="Verdana"/>
          <w:sz w:val="20"/>
          <w:szCs w:val="20"/>
        </w:rPr>
        <w:t>.</w:t>
      </w:r>
    </w:p>
    <w:p w14:paraId="5509C3AB" w14:textId="77777777" w:rsidR="007E1F8A" w:rsidRDefault="007E1F8A" w:rsidP="007E1F8A">
      <w:pPr>
        <w:ind w:left="0" w:firstLine="720"/>
        <w:rPr>
          <w:rFonts w:ascii="Verdana" w:hAnsi="Verdana"/>
          <w:sz w:val="20"/>
          <w:szCs w:val="20"/>
        </w:rPr>
      </w:pPr>
    </w:p>
    <w:p w14:paraId="6BF46D0B" w14:textId="77777777" w:rsidR="007E1F8A" w:rsidRDefault="007E1F8A" w:rsidP="007E1F8A">
      <w:pPr>
        <w:ind w:left="0" w:firstLine="720"/>
        <w:rPr>
          <w:rFonts w:ascii="Verdana" w:hAnsi="Verdana"/>
          <w:sz w:val="20"/>
          <w:szCs w:val="20"/>
        </w:rPr>
      </w:pPr>
      <w:r w:rsidRPr="00195E39">
        <w:rPr>
          <w:rFonts w:ascii="Verdana" w:hAnsi="Verdana"/>
          <w:sz w:val="20"/>
          <w:szCs w:val="20"/>
        </w:rPr>
        <w:t>Understanding the intricate relationship between financial risk tolerance, personality traits, and demographic characteristics is crucial for investors, financial advisors, and policymakers. Establishing a tailored framework for comprehending this relationship can empower individuals to make informed and healthy financial decisions. In light of these considerations, this study aims to investigate and delineate the specific objectives guiding our exploration of these complex interactions.</w:t>
      </w:r>
    </w:p>
    <w:p w14:paraId="26537A84" w14:textId="77777777" w:rsidR="007E1F8A" w:rsidRDefault="007E1F8A" w:rsidP="007E1F8A">
      <w:pPr>
        <w:ind w:left="0" w:firstLine="720"/>
        <w:rPr>
          <w:rFonts w:ascii="Verdana" w:hAnsi="Verdana"/>
          <w:sz w:val="20"/>
          <w:szCs w:val="20"/>
        </w:rPr>
      </w:pPr>
    </w:p>
    <w:p w14:paraId="58519A17" w14:textId="1B083E87" w:rsidR="007E1F8A" w:rsidRDefault="007E1F8A" w:rsidP="007E1F8A">
      <w:pPr>
        <w:ind w:left="0" w:firstLine="720"/>
        <w:rPr>
          <w:rFonts w:ascii="Verdana" w:hAnsi="Verdana"/>
          <w:sz w:val="20"/>
          <w:szCs w:val="20"/>
        </w:rPr>
      </w:pPr>
      <w:r w:rsidRPr="00195E39">
        <w:rPr>
          <w:rFonts w:ascii="Verdana" w:hAnsi="Verdana"/>
          <w:sz w:val="20"/>
          <w:szCs w:val="20"/>
        </w:rPr>
        <w:t>The objectives of this study were to check whether demographics characteristics and personality dimensions have impact on financial risk tolerance of individual.</w:t>
      </w:r>
    </w:p>
    <w:p w14:paraId="089D518E" w14:textId="77777777" w:rsidR="007E1F8A" w:rsidRPr="00195E39" w:rsidRDefault="007E1F8A" w:rsidP="007E1F8A">
      <w:pPr>
        <w:ind w:left="0" w:firstLine="720"/>
        <w:rPr>
          <w:rFonts w:ascii="Verdana" w:hAnsi="Verdana"/>
          <w:sz w:val="20"/>
          <w:szCs w:val="20"/>
        </w:rPr>
      </w:pPr>
    </w:p>
    <w:p w14:paraId="4D914AC8" w14:textId="2ECC4DFB" w:rsidR="007E1F8A" w:rsidRPr="007E1F8A" w:rsidRDefault="007E1F8A" w:rsidP="007E1F8A">
      <w:pPr>
        <w:pStyle w:val="ListParagraph"/>
        <w:numPr>
          <w:ilvl w:val="0"/>
          <w:numId w:val="39"/>
        </w:numPr>
        <w:ind w:hanging="720"/>
        <w:jc w:val="left"/>
        <w:rPr>
          <w:rFonts w:ascii="Verdana" w:hAnsi="Verdana"/>
          <w:b/>
          <w:sz w:val="22"/>
          <w:szCs w:val="22"/>
        </w:rPr>
      </w:pPr>
      <w:r w:rsidRPr="007E1F8A">
        <w:rPr>
          <w:rFonts w:ascii="Verdana" w:hAnsi="Verdana"/>
          <w:b/>
          <w:sz w:val="22"/>
          <w:szCs w:val="22"/>
        </w:rPr>
        <w:t xml:space="preserve">Literature </w:t>
      </w:r>
      <w:r>
        <w:rPr>
          <w:rFonts w:ascii="Verdana" w:hAnsi="Verdana"/>
          <w:b/>
          <w:sz w:val="22"/>
          <w:szCs w:val="22"/>
        </w:rPr>
        <w:t>R</w:t>
      </w:r>
      <w:r w:rsidRPr="007E1F8A">
        <w:rPr>
          <w:rFonts w:ascii="Verdana" w:hAnsi="Verdana"/>
          <w:b/>
          <w:sz w:val="22"/>
          <w:szCs w:val="22"/>
        </w:rPr>
        <w:t>eview</w:t>
      </w:r>
    </w:p>
    <w:p w14:paraId="59EEC01C" w14:textId="0087E545" w:rsidR="007E1F8A" w:rsidRPr="007E1F8A" w:rsidRDefault="007E1F8A" w:rsidP="007E1F8A">
      <w:pPr>
        <w:pStyle w:val="ListParagraph"/>
        <w:numPr>
          <w:ilvl w:val="1"/>
          <w:numId w:val="39"/>
        </w:numPr>
        <w:ind w:hanging="720"/>
        <w:jc w:val="left"/>
        <w:rPr>
          <w:rFonts w:ascii="Verdana" w:hAnsi="Verdana"/>
          <w:b/>
          <w:sz w:val="22"/>
          <w:szCs w:val="22"/>
        </w:rPr>
      </w:pPr>
      <w:r w:rsidRPr="007E1F8A">
        <w:rPr>
          <w:rFonts w:ascii="Verdana" w:hAnsi="Verdana"/>
          <w:b/>
          <w:sz w:val="22"/>
          <w:szCs w:val="22"/>
        </w:rPr>
        <w:t xml:space="preserve">Theoretical </w:t>
      </w:r>
      <w:r>
        <w:rPr>
          <w:rFonts w:ascii="Verdana" w:hAnsi="Verdana"/>
          <w:b/>
          <w:sz w:val="22"/>
          <w:szCs w:val="22"/>
        </w:rPr>
        <w:t>R</w:t>
      </w:r>
      <w:r w:rsidRPr="007E1F8A">
        <w:rPr>
          <w:rFonts w:ascii="Verdana" w:hAnsi="Verdana"/>
          <w:b/>
          <w:sz w:val="22"/>
          <w:szCs w:val="22"/>
        </w:rPr>
        <w:t>eview</w:t>
      </w:r>
    </w:p>
    <w:p w14:paraId="7DEF883F" w14:textId="77777777" w:rsidR="00EA4C9F" w:rsidRDefault="00EA4C9F" w:rsidP="00EA4C9F">
      <w:pPr>
        <w:ind w:left="0" w:firstLine="720"/>
        <w:rPr>
          <w:rFonts w:ascii="Verdana" w:hAnsi="Verdana"/>
          <w:sz w:val="20"/>
          <w:szCs w:val="20"/>
        </w:rPr>
      </w:pPr>
    </w:p>
    <w:p w14:paraId="374CC9C4" w14:textId="17FA71E1" w:rsidR="007E1F8A" w:rsidRDefault="007E1F8A" w:rsidP="00EA4C9F">
      <w:pPr>
        <w:ind w:left="0" w:firstLine="720"/>
        <w:rPr>
          <w:rFonts w:ascii="Verdana" w:hAnsi="Verdana"/>
          <w:sz w:val="20"/>
          <w:szCs w:val="20"/>
        </w:rPr>
      </w:pPr>
      <w:r w:rsidRPr="00195E39">
        <w:rPr>
          <w:rFonts w:ascii="Verdana" w:hAnsi="Verdana"/>
          <w:sz w:val="20"/>
          <w:szCs w:val="20"/>
        </w:rPr>
        <w:t>The theoretical literature review focuses on psychological factors, specifically the "big five" personality traits and demographic characteristics, and their impact on individual investors' risk tolerance. Through an in-depth analysis of empirical findings and methodologies employed by researchers, the review aims to delineate the significance of dependent and independent variables. The ultimate objective is to discern the relative importance of these factors, leading to the development of a proposed theoretical or conceptual framework. The synthesis of this information will contribute to identifying and addressing research gaps within the current body of knowledge.</w:t>
      </w:r>
    </w:p>
    <w:p w14:paraId="75800FA8" w14:textId="77777777" w:rsidR="00EA4C9F" w:rsidRPr="00195E39" w:rsidRDefault="00EA4C9F" w:rsidP="00EA4C9F">
      <w:pPr>
        <w:ind w:left="0" w:firstLine="720"/>
        <w:rPr>
          <w:rFonts w:ascii="Verdana" w:hAnsi="Verdana"/>
          <w:b/>
          <w:sz w:val="20"/>
          <w:szCs w:val="20"/>
        </w:rPr>
      </w:pPr>
    </w:p>
    <w:p w14:paraId="17E524A5" w14:textId="77777777" w:rsidR="007E1F8A" w:rsidRPr="00EA4C9F" w:rsidRDefault="007E1F8A" w:rsidP="00EA4C9F">
      <w:pPr>
        <w:pStyle w:val="ListParagraph"/>
        <w:numPr>
          <w:ilvl w:val="2"/>
          <w:numId w:val="39"/>
        </w:numPr>
        <w:ind w:left="709"/>
        <w:rPr>
          <w:rFonts w:ascii="Verdana" w:hAnsi="Verdana"/>
          <w:b/>
          <w:sz w:val="22"/>
          <w:szCs w:val="22"/>
        </w:rPr>
      </w:pPr>
      <w:r w:rsidRPr="00B866A7">
        <w:rPr>
          <w:rFonts w:ascii="Verdana" w:hAnsi="Verdana"/>
          <w:b/>
          <w:sz w:val="22"/>
          <w:szCs w:val="22"/>
        </w:rPr>
        <w:t>A Behavioral</w:t>
      </w:r>
      <w:r w:rsidRPr="00EA4C9F">
        <w:rPr>
          <w:rFonts w:ascii="Verdana" w:hAnsi="Verdana"/>
          <w:b/>
          <w:sz w:val="22"/>
          <w:szCs w:val="22"/>
        </w:rPr>
        <w:t xml:space="preserve"> Finance Approach Toward Risk</w:t>
      </w:r>
    </w:p>
    <w:p w14:paraId="7A3F7B22" w14:textId="77777777" w:rsidR="00EA4C9F" w:rsidRDefault="00EA4C9F" w:rsidP="00EA4C9F">
      <w:pPr>
        <w:ind w:left="0" w:firstLine="709"/>
        <w:rPr>
          <w:rFonts w:ascii="Verdana" w:hAnsi="Verdana"/>
          <w:sz w:val="20"/>
          <w:szCs w:val="20"/>
        </w:rPr>
      </w:pPr>
    </w:p>
    <w:p w14:paraId="4CBB8982" w14:textId="7FA8CBC4" w:rsidR="007E1F8A" w:rsidRDefault="007E1F8A" w:rsidP="00A60A82">
      <w:pPr>
        <w:ind w:left="0" w:firstLine="720"/>
        <w:rPr>
          <w:rFonts w:ascii="Verdana" w:hAnsi="Verdana"/>
          <w:sz w:val="20"/>
          <w:szCs w:val="20"/>
        </w:rPr>
      </w:pPr>
      <w:r w:rsidRPr="00195E39">
        <w:rPr>
          <w:rFonts w:ascii="Verdana" w:hAnsi="Verdana"/>
          <w:sz w:val="20"/>
          <w:szCs w:val="20"/>
        </w:rPr>
        <w:t>Financial decisions inherently carry the risk of not yielding anticipated returns. Financial risk tolerance, as defined by</w:t>
      </w:r>
      <w:r w:rsidR="00DF32B8">
        <w:rPr>
          <w:rFonts w:ascii="Verdana" w:hAnsi="Verdana"/>
          <w:sz w:val="20"/>
          <w:szCs w:val="20"/>
        </w:rPr>
        <w:t xml:space="preserve"> </w:t>
      </w:r>
      <w:hyperlink w:anchor="_ENREF_53" w:tooltip="Prabhakaran, 2011 #8"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AuthorYear="1"&gt;&lt;Author&gt;Prabhakaran&lt;/Author&gt;&lt;Year&gt;2011&lt;/Year&gt;&lt;RecNum&gt;8&lt;/RecNum&gt;&lt;DisplayText&gt;Prabhakaran and Karthika (2011)&lt;/DisplayText&gt;&lt;record&gt;&lt;rec-number&gt;8&lt;/rec-number&gt;&lt;foreign-keys&gt;&lt;key app="EN" db-id="v5ve2td2jxzxrxee0pdpwrv99fpre2frs20r" timestamp="1703956141"&gt;8&lt;/key&gt;&lt;/foreign-keys&gt;&lt;ref-type name="Journal Article"&gt;17&lt;/ref-type&gt;&lt;contributors&gt;&lt;authors&gt;&lt;author&gt;Prabhakaran, K&lt;/author&gt;&lt;author&gt;Karthika, P&lt;/author&gt;&lt;/authors&gt;&lt;/contributors&gt;&lt;titles&gt;&lt;title&gt;A study on risk perception and portfolio management of equity investors in Coimbatore city&lt;/title&gt;&lt;secondary-title&gt;Journal of Management and Science&lt;/secondary-title&gt;&lt;/titles&gt;&lt;periodical&gt;&lt;full-title&gt;Journal of Management and Science&lt;/full-title&gt;&lt;/periodical&gt;&lt;pages&gt;65-77&lt;/pages&gt;&lt;volume&gt;1&lt;/volume&gt;&lt;number&gt;2&lt;/number&gt;&lt;dates&gt;&lt;year&gt;2011&lt;/year&gt;&lt;/dates&gt;&lt;isbn&gt;2250-1819&lt;/isbn&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Prabhakaran and Karthika (2011)</w:t>
        </w:r>
        <w:r w:rsidR="004372FE">
          <w:rPr>
            <w:rFonts w:ascii="Verdana" w:hAnsi="Verdana"/>
            <w:sz w:val="20"/>
            <w:szCs w:val="20"/>
          </w:rPr>
          <w:fldChar w:fldCharType="end"/>
        </w:r>
      </w:hyperlink>
      <w:r w:rsidR="00DF32B8">
        <w:rPr>
          <w:rFonts w:ascii="Verdana" w:hAnsi="Verdana"/>
          <w:sz w:val="20"/>
          <w:szCs w:val="20"/>
        </w:rPr>
        <w:t xml:space="preserve">, </w:t>
      </w:r>
      <w:r w:rsidR="009F2839">
        <w:rPr>
          <w:rFonts w:ascii="Verdana" w:hAnsi="Verdana"/>
          <w:sz w:val="20"/>
          <w:szCs w:val="20"/>
        </w:rPr>
        <w:t xml:space="preserve"> </w:t>
      </w:r>
      <w:r w:rsidRPr="00195E39">
        <w:rPr>
          <w:rFonts w:ascii="Verdana" w:hAnsi="Verdana"/>
          <w:sz w:val="20"/>
          <w:szCs w:val="20"/>
        </w:rPr>
        <w:t>reflects an individual's capacity and willingness to embrace a certain level of risk. Alternatively,</w:t>
      </w:r>
      <w:r w:rsidR="00E46711">
        <w:rPr>
          <w:rFonts w:ascii="Verdana" w:hAnsi="Verdana"/>
          <w:sz w:val="20"/>
          <w:szCs w:val="20"/>
        </w:rPr>
        <w:t xml:space="preserve"> </w:t>
      </w:r>
      <w:hyperlink w:anchor="_ENREF_25" w:tooltip="Hallahan, 2004 #17"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AuthorYear="1"&gt;&lt;Author&gt;Hallahan&lt;/Author&gt;&lt;Year&gt;2004&lt;/Year&gt;&lt;RecNum&gt;17&lt;/RecNum&gt;&lt;DisplayText&gt;Hallahan, Faff, and McKenzie (2004)&lt;/DisplayText&gt;&lt;record&gt;&lt;rec-number&gt;17&lt;/rec-number&gt;&lt;foreign-keys&gt;&lt;key app="EN" db-id="v5ve2td2jxzxrxee0pdpwrv99fpre2frs20r" timestamp="1703957319"&gt;17&lt;/key&gt;&lt;/foreign-keys&gt;&lt;ref-type name="Journal Article"&gt;17&lt;/ref-type&gt;&lt;contributors&gt;&lt;authors&gt;&lt;author&gt;Hallahan, Terrence A&lt;/author&gt;&lt;author&gt;Faff, Robert W&lt;/author&gt;&lt;author&gt;McKenzie, Michael D&lt;/author&gt;&lt;/authors&gt;&lt;/contributors&gt;&lt;titles&gt;&lt;title&gt;An empirical investigation of personal financial risk tolerance&lt;/title&gt;&lt;secondary-title&gt;Financial Services Review-greenwich-&lt;/secondary-title&gt;&lt;/titles&gt;&lt;periodical&gt;&lt;full-title&gt;Financial Services Review-greenwich-&lt;/full-title&gt;&lt;/periodical&gt;&lt;pages&gt;57-78&lt;/pages&gt;&lt;volume&gt;13&lt;/volume&gt;&lt;number&gt;1&lt;/number&gt;&lt;dates&gt;&lt;year&gt;2004&lt;/year&gt;&lt;/dates&gt;&lt;isbn&gt;1057-0810&lt;/isbn&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Hallahan, Faff, and McKenzie (2004)</w:t>
        </w:r>
        <w:r w:rsidR="004372FE">
          <w:rPr>
            <w:rFonts w:ascii="Verdana" w:hAnsi="Verdana"/>
            <w:sz w:val="20"/>
            <w:szCs w:val="20"/>
          </w:rPr>
          <w:fldChar w:fldCharType="end"/>
        </w:r>
      </w:hyperlink>
      <w:r w:rsidR="00E46711">
        <w:rPr>
          <w:rFonts w:ascii="Verdana" w:hAnsi="Verdana"/>
          <w:sz w:val="20"/>
          <w:szCs w:val="20"/>
        </w:rPr>
        <w:t xml:space="preserve"> </w:t>
      </w:r>
      <w:r w:rsidRPr="00195E39">
        <w:rPr>
          <w:rFonts w:ascii="Verdana" w:hAnsi="Verdana"/>
          <w:sz w:val="20"/>
          <w:szCs w:val="20"/>
        </w:rPr>
        <w:t>describe risk tolerance as an individual's attitude toward variance in expected returns. According to</w:t>
      </w:r>
      <w:r w:rsidR="005262A0">
        <w:rPr>
          <w:rFonts w:ascii="Verdana" w:hAnsi="Verdana"/>
          <w:sz w:val="20"/>
          <w:szCs w:val="20"/>
        </w:rPr>
        <w:t xml:space="preserve"> </w:t>
      </w:r>
      <w:hyperlink w:anchor="_ENREF_24" w:tooltip="Grable, 2007 #9"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AuthorYear="1"&gt;&lt;Author&gt;Grable&lt;/Author&gt;&lt;Year&gt;2007&lt;/Year&gt;&lt;RecNum&gt;9&lt;/RecNum&gt;&lt;DisplayText&gt;Grable and Roszkowski (2007)&lt;/DisplayText&gt;&lt;record&gt;&lt;rec-number&gt;9&lt;/rec-number&gt;&lt;foreign-keys&gt;&lt;key app="EN" db-id="v5ve2td2jxzxrxee0pdpwrv99fpre2frs20r" timestamp="1703956276"&gt;9&lt;/key&gt;&lt;/foreign-keys&gt;&lt;ref-type name="Journal Article"&gt;17&lt;/ref-type&gt;&lt;contributors&gt;&lt;authors&gt;&lt;author&gt;Grable, John E&lt;/author&gt;&lt;author&gt;Roszkowski, Michael J&lt;/author&gt;&lt;/authors&gt;&lt;/contributors&gt;&lt;titles&gt;&lt;title&gt;Self-assessments of risk tolerance by women and men&lt;/title&gt;&lt;secondary-title&gt;Psychological Reports&lt;/secondary-title&gt;&lt;/titles&gt;&lt;periodical&gt;&lt;full-title&gt;Psychological Reports&lt;/full-title&gt;&lt;/periodical&gt;&lt;pages&gt;795-802&lt;/pages&gt;&lt;volume&gt;100&lt;/volume&gt;&lt;number&gt;3&lt;/number&gt;&lt;dates&gt;&lt;year&gt;2007&lt;/year&gt;&lt;/dates&gt;&lt;isbn&gt;0033-2941&lt;/isbn&gt;&lt;urls&gt;&lt;/urls&gt;&lt;electronic-resource-num&gt;https://doi.org/10.2466/pr0.100.3.795-802&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Grable and Roszkowski (2007)</w:t>
        </w:r>
        <w:r w:rsidR="004372FE">
          <w:rPr>
            <w:rFonts w:ascii="Verdana" w:hAnsi="Verdana"/>
            <w:sz w:val="20"/>
            <w:szCs w:val="20"/>
          </w:rPr>
          <w:fldChar w:fldCharType="end"/>
        </w:r>
      </w:hyperlink>
      <w:r w:rsidR="0084010B">
        <w:rPr>
          <w:rFonts w:ascii="Verdana" w:hAnsi="Verdana"/>
          <w:sz w:val="20"/>
          <w:szCs w:val="20"/>
        </w:rPr>
        <w:t xml:space="preserve">, </w:t>
      </w:r>
      <w:r w:rsidRPr="00195E39">
        <w:rPr>
          <w:rFonts w:ascii="Verdana" w:hAnsi="Verdana"/>
          <w:sz w:val="20"/>
          <w:szCs w:val="20"/>
        </w:rPr>
        <w:t>risk tolerance exhibits both stable and variable characteristics, akin to blood groups or changing moods. Consequently, relying solely on this trait for investment planning may not be productive. Those inclined toward risk-taking often embrace uncertainty, while individuals with conservative risk attitudes prefer certainty</w:t>
      </w:r>
      <w:r w:rsidR="003712C6">
        <w:rPr>
          <w:rFonts w:ascii="Verdana" w:hAnsi="Verdana"/>
          <w:sz w:val="20"/>
          <w:szCs w:val="20"/>
        </w:rPr>
        <w:t xml:space="preserve"> </w:t>
      </w:r>
      <w:r w:rsidR="003712C6">
        <w:rPr>
          <w:rFonts w:ascii="Verdana" w:hAnsi="Verdana"/>
          <w:sz w:val="20"/>
          <w:szCs w:val="20"/>
        </w:rPr>
        <w:fldChar w:fldCharType="begin"/>
      </w:r>
      <w:r w:rsidR="004372FE">
        <w:rPr>
          <w:rFonts w:ascii="Verdana" w:hAnsi="Verdana"/>
          <w:sz w:val="20"/>
          <w:szCs w:val="20"/>
        </w:rPr>
        <w:instrText xml:space="preserve"> ADDIN EN.CITE &lt;EndNote&gt;&lt;Cite&gt;&lt;Author&gt;Grable&lt;/Author&gt;&lt;Year&gt;2000&lt;/Year&gt;&lt;RecNum&gt;10&lt;/RecNum&gt;&lt;DisplayText&gt;(Grable, 2000)&lt;/DisplayText&gt;&lt;record&gt;&lt;rec-number&gt;10&lt;/rec-number&gt;&lt;foreign-keys&gt;&lt;key app="EN" db-id="v5ve2td2jxzxrxee0pdpwrv99fpre2frs20r" timestamp="1703956334"&gt;10&lt;/key&gt;&lt;/foreign-keys&gt;&lt;ref-type name="Journal Article"&gt;17&lt;/ref-type&gt;&lt;contributors&gt;&lt;authors&gt;&lt;author&gt;Grable, John E&lt;/author&gt;&lt;/authors&gt;&lt;/contributors&gt;&lt;titles&gt;&lt;title&gt;Financial risk tolerance and additional factors that affect risk taking in everyday money matters&lt;/title&gt;&lt;secondary-title&gt;Journal of business and psychology&lt;/secondary-title&gt;&lt;/titles&gt;&lt;periodical&gt;&lt;full-title&gt;Journal of business and psychology&lt;/full-title&gt;&lt;/periodical&gt;&lt;pages&gt;625-630&lt;/pages&gt;&lt;volume&gt;14&lt;/volume&gt;&lt;dates&gt;&lt;year&gt;2000&lt;/year&gt;&lt;/dates&gt;&lt;isbn&gt;0889-3268&lt;/isbn&gt;&lt;urls&gt;&lt;/urls&gt;&lt;electronic-resource-num&gt;https://doi.org/10.1023/A:1022994314982&lt;/electronic-resource-num&gt;&lt;/record&gt;&lt;/Cite&gt;&lt;/EndNote&gt;</w:instrText>
      </w:r>
      <w:r w:rsidR="003712C6">
        <w:rPr>
          <w:rFonts w:ascii="Verdana" w:hAnsi="Verdana"/>
          <w:sz w:val="20"/>
          <w:szCs w:val="20"/>
        </w:rPr>
        <w:fldChar w:fldCharType="separate"/>
      </w:r>
      <w:r w:rsidR="004372FE">
        <w:rPr>
          <w:rFonts w:ascii="Verdana" w:hAnsi="Verdana"/>
          <w:noProof/>
          <w:sz w:val="20"/>
          <w:szCs w:val="20"/>
        </w:rPr>
        <w:t>(</w:t>
      </w:r>
      <w:hyperlink w:anchor="_ENREF_22" w:tooltip="Grable, 2000 #10" w:history="1">
        <w:r w:rsidR="004372FE">
          <w:rPr>
            <w:rFonts w:ascii="Verdana" w:hAnsi="Verdana"/>
            <w:noProof/>
            <w:sz w:val="20"/>
            <w:szCs w:val="20"/>
          </w:rPr>
          <w:t>Grable, 2000</w:t>
        </w:r>
      </w:hyperlink>
      <w:r w:rsidR="004372FE">
        <w:rPr>
          <w:rFonts w:ascii="Verdana" w:hAnsi="Verdana"/>
          <w:noProof/>
          <w:sz w:val="20"/>
          <w:szCs w:val="20"/>
        </w:rPr>
        <w:t>)</w:t>
      </w:r>
      <w:r w:rsidR="003712C6">
        <w:rPr>
          <w:rFonts w:ascii="Verdana" w:hAnsi="Verdana"/>
          <w:sz w:val="20"/>
          <w:szCs w:val="20"/>
        </w:rPr>
        <w:fldChar w:fldCharType="end"/>
      </w:r>
      <w:r w:rsidR="000D43A8">
        <w:rPr>
          <w:rFonts w:ascii="Verdana" w:hAnsi="Verdana"/>
          <w:sz w:val="20"/>
          <w:szCs w:val="20"/>
        </w:rPr>
        <w:t>.</w:t>
      </w:r>
    </w:p>
    <w:p w14:paraId="02DE86F0" w14:textId="77777777" w:rsidR="00EA4C9F" w:rsidRPr="00195E39" w:rsidRDefault="00EA4C9F" w:rsidP="00EA4C9F">
      <w:pPr>
        <w:ind w:left="0" w:firstLine="720"/>
        <w:rPr>
          <w:rFonts w:ascii="Verdana" w:hAnsi="Verdana"/>
          <w:sz w:val="20"/>
          <w:szCs w:val="20"/>
        </w:rPr>
      </w:pPr>
    </w:p>
    <w:p w14:paraId="51972993" w14:textId="77777777" w:rsidR="007E1F8A" w:rsidRPr="00EA4C9F" w:rsidRDefault="007E1F8A" w:rsidP="00EA4C9F">
      <w:pPr>
        <w:pStyle w:val="ListParagraph"/>
        <w:numPr>
          <w:ilvl w:val="2"/>
          <w:numId w:val="39"/>
        </w:numPr>
        <w:ind w:left="709"/>
        <w:rPr>
          <w:rFonts w:ascii="Verdana" w:hAnsi="Verdana"/>
          <w:b/>
          <w:sz w:val="22"/>
          <w:szCs w:val="22"/>
        </w:rPr>
      </w:pPr>
      <w:r w:rsidRPr="00EA4C9F">
        <w:rPr>
          <w:rFonts w:ascii="Verdana" w:hAnsi="Verdana"/>
          <w:b/>
          <w:sz w:val="22"/>
          <w:szCs w:val="22"/>
        </w:rPr>
        <w:t>Prospect Theory</w:t>
      </w:r>
    </w:p>
    <w:p w14:paraId="72CC55B3" w14:textId="77777777" w:rsidR="00EA4C9F" w:rsidRDefault="00EA4C9F" w:rsidP="00EA4C9F">
      <w:pPr>
        <w:ind w:left="0" w:firstLine="709"/>
        <w:rPr>
          <w:rFonts w:ascii="Verdana" w:hAnsi="Verdana"/>
          <w:sz w:val="20"/>
          <w:szCs w:val="20"/>
        </w:rPr>
      </w:pPr>
    </w:p>
    <w:p w14:paraId="2F22D514" w14:textId="0869BAAA" w:rsidR="007E1F8A" w:rsidRDefault="007E1F8A" w:rsidP="00A60A82">
      <w:pPr>
        <w:ind w:left="0" w:firstLine="709"/>
        <w:rPr>
          <w:rFonts w:ascii="Verdana" w:hAnsi="Verdana"/>
          <w:sz w:val="20"/>
          <w:szCs w:val="20"/>
        </w:rPr>
      </w:pPr>
      <w:r w:rsidRPr="00195E39">
        <w:rPr>
          <w:rFonts w:ascii="Verdana" w:hAnsi="Verdana"/>
          <w:sz w:val="20"/>
          <w:szCs w:val="20"/>
        </w:rPr>
        <w:t xml:space="preserve">Prospect Theory, introduced by </w:t>
      </w:r>
      <w:hyperlink w:anchor="_ENREF_34" w:tooltip="Kahneman, 1979 #11"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AuthorYear="1"&gt;&lt;Author&gt;Kahneman&lt;/Author&gt;&lt;Year&gt;1979&lt;/Year&gt;&lt;RecNum&gt;11&lt;/RecNum&gt;&lt;DisplayText&gt;Kahneman and Tversky (1979)&lt;/DisplayText&gt;&lt;record&gt;&lt;rec-number&gt;11&lt;/rec-number&gt;&lt;foreign-keys&gt;&lt;key app="EN" db-id="v5ve2td2jxzxrxee0pdpwrv99fpre2frs20r" timestamp="1703956527"&gt;11&lt;/key&gt;&lt;/foreign-keys&gt;&lt;ref-type name="Journal Article"&gt;17&lt;/ref-type&gt;&lt;contributors&gt;&lt;authors&gt;&lt;author&gt;Kahneman, Daniel&lt;/author&gt;&lt;author&gt;Tversky, Amos&lt;/author&gt;&lt;/authors&gt;&lt;/contributors&gt;&lt;titles&gt;&lt;title&gt;On the interpretation of intuitive probability: A reply to Jonathan Cohen&lt;/title&gt;&lt;/titles&gt;&lt;dates&gt;&lt;year&gt;1979&lt;/year&gt;&lt;/dates&gt;&lt;isbn&gt;1873-7838&lt;/isbn&gt;&lt;urls&gt;&lt;/urls&gt;&lt;electronic-resource-num&gt;https://doi.org/10.1016/0010-0277(79)90024-6&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Kahneman and Tversky (1979)</w:t>
        </w:r>
        <w:r w:rsidR="004372FE">
          <w:rPr>
            <w:rFonts w:ascii="Verdana" w:hAnsi="Verdana"/>
            <w:sz w:val="20"/>
            <w:szCs w:val="20"/>
          </w:rPr>
          <w:fldChar w:fldCharType="end"/>
        </w:r>
      </w:hyperlink>
      <w:r w:rsidR="001A5943">
        <w:rPr>
          <w:rFonts w:ascii="Verdana" w:hAnsi="Verdana"/>
          <w:sz w:val="20"/>
          <w:szCs w:val="20"/>
        </w:rPr>
        <w:t xml:space="preserve">, </w:t>
      </w:r>
      <w:r w:rsidRPr="00195E39">
        <w:rPr>
          <w:rFonts w:ascii="Verdana" w:hAnsi="Verdana"/>
          <w:sz w:val="20"/>
          <w:szCs w:val="20"/>
        </w:rPr>
        <w:t xml:space="preserve">is a prominent behavioral framework challenging Expected Utility Theory (EUT). Unlike EUT, Prospect Theory employs a value function to describe gains and losses in terms of value rather than utility. The value function is convex and steep for losses, while concave but less steep for gains. A key </w:t>
      </w:r>
      <w:r w:rsidRPr="00195E39">
        <w:rPr>
          <w:rFonts w:ascii="Verdana" w:hAnsi="Verdana"/>
          <w:sz w:val="20"/>
          <w:szCs w:val="20"/>
        </w:rPr>
        <w:lastRenderedPageBreak/>
        <w:t>insight is that an individual's risk tolerance is influenced by how a situation is framed. Choices framed as gains tend to evoke risk-averse behavior, while the same choices framed as losses often le</w:t>
      </w:r>
      <w:r w:rsidR="00F632E8">
        <w:rPr>
          <w:rFonts w:ascii="Verdana" w:hAnsi="Verdana"/>
          <w:sz w:val="20"/>
          <w:szCs w:val="20"/>
        </w:rPr>
        <w:t xml:space="preserve"> </w:t>
      </w:r>
      <w:r w:rsidRPr="00195E39">
        <w:rPr>
          <w:rFonts w:ascii="Verdana" w:hAnsi="Verdana"/>
          <w:sz w:val="20"/>
          <w:szCs w:val="20"/>
        </w:rPr>
        <w:t>ad to risk-seeking tendencies, highlighting the impact of framing on decision-making.</w:t>
      </w:r>
    </w:p>
    <w:p w14:paraId="4765CBE8" w14:textId="77777777" w:rsidR="00EA4C9F" w:rsidRPr="00195E39" w:rsidRDefault="00EA4C9F" w:rsidP="00EA4C9F">
      <w:pPr>
        <w:ind w:left="0" w:firstLine="709"/>
        <w:rPr>
          <w:rFonts w:ascii="Verdana" w:hAnsi="Verdana"/>
          <w:sz w:val="20"/>
          <w:szCs w:val="20"/>
        </w:rPr>
      </w:pPr>
    </w:p>
    <w:p w14:paraId="66553096" w14:textId="77777777" w:rsidR="007E1F8A" w:rsidRPr="00EA4C9F" w:rsidRDefault="007E1F8A" w:rsidP="00EA4C9F">
      <w:pPr>
        <w:pStyle w:val="ListParagraph"/>
        <w:numPr>
          <w:ilvl w:val="1"/>
          <w:numId w:val="39"/>
        </w:numPr>
        <w:ind w:hanging="720"/>
        <w:jc w:val="left"/>
        <w:rPr>
          <w:rFonts w:ascii="Verdana" w:hAnsi="Verdana"/>
          <w:b/>
          <w:sz w:val="22"/>
          <w:szCs w:val="22"/>
        </w:rPr>
      </w:pPr>
      <w:r w:rsidRPr="00EA4C9F">
        <w:rPr>
          <w:rFonts w:ascii="Verdana" w:hAnsi="Verdana"/>
          <w:b/>
          <w:sz w:val="22"/>
          <w:szCs w:val="22"/>
        </w:rPr>
        <w:t>Demographic Determinants of Financial Risk Tolerance</w:t>
      </w:r>
    </w:p>
    <w:p w14:paraId="37CB87E5" w14:textId="77777777" w:rsidR="00EA4C9F" w:rsidRDefault="00EA4C9F" w:rsidP="00EA4C9F">
      <w:pPr>
        <w:ind w:left="0" w:firstLine="720"/>
        <w:rPr>
          <w:rFonts w:ascii="Verdana" w:hAnsi="Verdana"/>
          <w:sz w:val="20"/>
          <w:szCs w:val="20"/>
        </w:rPr>
      </w:pPr>
    </w:p>
    <w:p w14:paraId="6D35DFE7" w14:textId="380520E3" w:rsidR="007E1F8A" w:rsidRPr="00195E39" w:rsidRDefault="007E1F8A" w:rsidP="00EA4C9F">
      <w:pPr>
        <w:ind w:left="0" w:firstLine="720"/>
        <w:rPr>
          <w:rFonts w:ascii="Verdana" w:hAnsi="Verdana"/>
          <w:sz w:val="20"/>
          <w:szCs w:val="20"/>
        </w:rPr>
      </w:pPr>
      <w:r w:rsidRPr="00195E39">
        <w:rPr>
          <w:rFonts w:ascii="Verdana" w:hAnsi="Verdana"/>
          <w:sz w:val="20"/>
          <w:szCs w:val="20"/>
        </w:rPr>
        <w:t xml:space="preserve">The following demographic characteristics have been explored through various </w:t>
      </w:r>
    </w:p>
    <w:p w14:paraId="46DB92F5" w14:textId="5045BD14" w:rsidR="007E1F8A" w:rsidRDefault="007E1F8A" w:rsidP="007E1F8A">
      <w:pPr>
        <w:rPr>
          <w:rFonts w:ascii="Verdana" w:hAnsi="Verdana"/>
          <w:sz w:val="20"/>
          <w:szCs w:val="20"/>
        </w:rPr>
      </w:pPr>
      <w:r w:rsidRPr="00195E39">
        <w:rPr>
          <w:rFonts w:ascii="Verdana" w:hAnsi="Verdana"/>
          <w:sz w:val="20"/>
          <w:szCs w:val="20"/>
        </w:rPr>
        <w:t>studies in response to risk tolerance.</w:t>
      </w:r>
    </w:p>
    <w:p w14:paraId="4FA69F3D" w14:textId="77777777" w:rsidR="00EA4C9F" w:rsidRPr="00195E39" w:rsidRDefault="00EA4C9F" w:rsidP="007E1F8A">
      <w:pPr>
        <w:rPr>
          <w:rFonts w:ascii="Verdana" w:hAnsi="Verdana"/>
          <w:sz w:val="20"/>
          <w:szCs w:val="20"/>
        </w:rPr>
      </w:pPr>
    </w:p>
    <w:p w14:paraId="70A1AC86" w14:textId="4637D1A2" w:rsidR="007E1F8A" w:rsidRPr="00EA4C9F" w:rsidRDefault="007E1F8A" w:rsidP="00EA4C9F">
      <w:pPr>
        <w:pStyle w:val="ListParagraph"/>
        <w:numPr>
          <w:ilvl w:val="2"/>
          <w:numId w:val="39"/>
        </w:numPr>
        <w:ind w:left="709"/>
        <w:rPr>
          <w:rFonts w:ascii="Verdana" w:hAnsi="Verdana"/>
          <w:b/>
          <w:sz w:val="22"/>
          <w:szCs w:val="22"/>
        </w:rPr>
      </w:pPr>
      <w:r w:rsidRPr="00EA4C9F">
        <w:rPr>
          <w:rFonts w:ascii="Verdana" w:hAnsi="Verdana"/>
          <w:b/>
          <w:sz w:val="22"/>
          <w:szCs w:val="22"/>
        </w:rPr>
        <w:t>Risk Tolerance and Gender Differences</w:t>
      </w:r>
    </w:p>
    <w:p w14:paraId="78870752" w14:textId="77777777" w:rsidR="00EA4C9F" w:rsidRDefault="00EA4C9F" w:rsidP="00EA4C9F">
      <w:pPr>
        <w:ind w:left="0" w:firstLine="709"/>
        <w:rPr>
          <w:rFonts w:ascii="Verdana" w:hAnsi="Verdana"/>
          <w:sz w:val="20"/>
          <w:szCs w:val="20"/>
        </w:rPr>
      </w:pPr>
    </w:p>
    <w:p w14:paraId="056483A0" w14:textId="0395A808" w:rsidR="007E1F8A" w:rsidRDefault="00000000" w:rsidP="00A60A82">
      <w:pPr>
        <w:ind w:left="0" w:firstLine="709"/>
        <w:rPr>
          <w:rFonts w:ascii="Verdana" w:hAnsi="Verdana"/>
          <w:sz w:val="20"/>
          <w:szCs w:val="20"/>
        </w:rPr>
      </w:pPr>
      <w:hyperlink w:anchor="_ENREF_30" w:tooltip="Ho, 1994 #12"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AuthorYear="1"&gt;&lt;Author&gt;Ho&lt;/Author&gt;&lt;Year&gt;1994&lt;/Year&gt;&lt;RecNum&gt;12&lt;/RecNum&gt;&lt;DisplayText&gt;Ho, Milevsky, and Robinson (1994)&lt;/DisplayText&gt;&lt;record&gt;&lt;rec-number&gt;12&lt;/rec-number&gt;&lt;foreign-keys&gt;&lt;key app="EN" db-id="v5ve2td2jxzxrxee0pdpwrv99fpre2frs20r" timestamp="1703956843"&gt;12&lt;/key&gt;&lt;/foreign-keys&gt;&lt;ref-type name="Journal Article"&gt;17&lt;/ref-type&gt;&lt;contributors&gt;&lt;authors&gt;&lt;author&gt;Ho, Kwok&lt;/author&gt;&lt;author&gt;Milevsky, Moshe Arye&lt;/author&gt;&lt;author&gt;Robinson, Chris&lt;/author&gt;&lt;/authors&gt;&lt;/contributors&gt;&lt;titles&gt;&lt;title&gt;Asset allocation, life expectancy and shortfall&lt;/title&gt;&lt;secondary-title&gt;Financial Services Review&lt;/secondary-title&gt;&lt;/titles&gt;&lt;periodical&gt;&lt;full-title&gt;Financial Services Review&lt;/full-title&gt;&lt;/periodical&gt;&lt;pages&gt;109-126&lt;/pages&gt;&lt;volume&gt;3&lt;/volume&gt;&lt;number&gt;2&lt;/number&gt;&lt;dates&gt;&lt;year&gt;1994&lt;/year&gt;&lt;/dates&gt;&lt;isbn&gt;1057-0810&lt;/isbn&gt;&lt;urls&gt;&lt;/urls&gt;&lt;electronic-resource-num&gt;https://doi.org/10.1016/1057-0810(94)90017-5&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Ho, Milevsky, and Robinson (1994)</w:t>
        </w:r>
        <w:r w:rsidR="004372FE">
          <w:rPr>
            <w:rFonts w:ascii="Verdana" w:hAnsi="Verdana"/>
            <w:sz w:val="20"/>
            <w:szCs w:val="20"/>
          </w:rPr>
          <w:fldChar w:fldCharType="end"/>
        </w:r>
      </w:hyperlink>
      <w:r w:rsidR="00FE17D4">
        <w:rPr>
          <w:rFonts w:ascii="Verdana" w:hAnsi="Verdana"/>
          <w:sz w:val="20"/>
          <w:szCs w:val="20"/>
        </w:rPr>
        <w:t xml:space="preserve"> </w:t>
      </w:r>
      <w:r w:rsidR="007E1F8A" w:rsidRPr="00195E39">
        <w:rPr>
          <w:rFonts w:ascii="Verdana" w:hAnsi="Verdana"/>
          <w:sz w:val="20"/>
          <w:szCs w:val="20"/>
        </w:rPr>
        <w:t>suggested that women might incline towards riskier assets in their portfolios due to longer life expectancies. However,</w:t>
      </w:r>
      <w:r w:rsidR="00B3682E">
        <w:rPr>
          <w:rFonts w:ascii="Verdana" w:hAnsi="Verdana"/>
          <w:sz w:val="20"/>
          <w:szCs w:val="20"/>
        </w:rPr>
        <w:t xml:space="preserve"> </w:t>
      </w:r>
      <w:r w:rsidR="00B3682E">
        <w:rPr>
          <w:rFonts w:ascii="Verdana" w:hAnsi="Verdana"/>
          <w:sz w:val="20"/>
          <w:szCs w:val="20"/>
        </w:rPr>
        <w:fldChar w:fldCharType="begin"/>
      </w:r>
      <w:r w:rsidR="00B3682E">
        <w:rPr>
          <w:rFonts w:ascii="Verdana" w:hAnsi="Verdana"/>
          <w:sz w:val="20"/>
          <w:szCs w:val="20"/>
        </w:rPr>
        <w:instrText xml:space="preserve"> ADDIN EN.CITE &lt;EndNote&gt;&lt;Cite AuthorYear="1"&gt;&lt;Author&gt;Gilliam&lt;/Author&gt;&lt;Year&gt;2010&lt;/Year&gt;&lt;RecNum&gt;13&lt;/RecNum&gt;&lt;DisplayText&gt;Gilliam, Chatterjee, and Zhu (2010); Powell and Ansic (1997)&lt;/DisplayText&gt;&lt;record&gt;&lt;rec-number&gt;13&lt;/rec-number&gt;&lt;foreign-keys&gt;&lt;key app="EN" db-id="v5ve2td2jxzxrxee0pdpwrv99fpre2frs20r" timestamp="1703956912"&gt;13&lt;/key&gt;&lt;/foreign-keys&gt;&lt;ref-type name="Journal Article"&gt;17&lt;/ref-type&gt;&lt;contributors&gt;&lt;authors&gt;&lt;author&gt;Gilliam, John&lt;/author&gt;&lt;author&gt;Chatterjee, Swarn&lt;/author&gt;&lt;author&gt;Zhu, Dandan&lt;/author&gt;&lt;/authors&gt;&lt;/contributors&gt;&lt;titles&gt;&lt;title&gt;Determinants of risk tolerance in the baby boomer cohort&lt;/title&gt;&lt;secondary-title&gt;Journal of Business &amp;amp; Economics Research&lt;/secondary-title&gt;&lt;/titles&gt;&lt;periodical&gt;&lt;full-title&gt;Journal of Business &amp;amp; Economics Research&lt;/full-title&gt;&lt;/periodical&gt;&lt;volume&gt;8&lt;/volume&gt;&lt;number&gt;5&lt;/number&gt;&lt;dates&gt;&lt;year&gt;2010&lt;/year&gt;&lt;/dates&gt;&lt;urls&gt;&lt;related-urls&gt;&lt;url&gt;https://ssrn.com/abstract=1568341&lt;/url&gt;&lt;/related-urls&gt;&lt;/urls&gt;&lt;/record&gt;&lt;/Cite&gt;&lt;Cite AuthorYear="1"&gt;&lt;Author&gt;Powell&lt;/Author&gt;&lt;Year&gt;1997&lt;/Year&gt;&lt;RecNum&gt;14&lt;/RecNum&gt;&lt;record&gt;&lt;rec-number&gt;14&lt;/rec-number&gt;&lt;foreign-keys&gt;&lt;key app="EN" db-id="v5ve2td2jxzxrxee0pdpwrv99fpre2frs20r" timestamp="1703957009"&gt;14&lt;/key&gt;&lt;/foreign-keys&gt;&lt;ref-type name="Journal Article"&gt;17&lt;/ref-type&gt;&lt;contributors&gt;&lt;authors&gt;&lt;author&gt;Powell, Melanie&lt;/author&gt;&lt;author&gt;Ansic, David&lt;/author&gt;&lt;/authors&gt;&lt;/contributors&gt;&lt;titles&gt;&lt;title&gt;Gender differences in risk behaviour in financial decision-making: An experimental analysis&lt;/title&gt;&lt;secondary-title&gt;Journal of economic psychology&lt;/secondary-title&gt;&lt;/titles&gt;&lt;periodical&gt;&lt;full-title&gt;Journal of economic psychology&lt;/full-title&gt;&lt;/periodical&gt;&lt;pages&gt;605-628&lt;/pages&gt;&lt;volume&gt;18&lt;/volume&gt;&lt;number&gt;6&lt;/number&gt;&lt;dates&gt;&lt;year&gt;1997&lt;/year&gt;&lt;/dates&gt;&lt;isbn&gt;0167-4870&lt;/isbn&gt;&lt;urls&gt;&lt;/urls&gt;&lt;electronic-resource-num&gt;https://doi.org/10.1016/S0167-4870(97)00026-3&lt;/electronic-resource-num&gt;&lt;/record&gt;&lt;/Cite&gt;&lt;/EndNote&gt;</w:instrText>
      </w:r>
      <w:r w:rsidR="00B3682E">
        <w:rPr>
          <w:rFonts w:ascii="Verdana" w:hAnsi="Verdana"/>
          <w:sz w:val="20"/>
          <w:szCs w:val="20"/>
        </w:rPr>
        <w:fldChar w:fldCharType="separate"/>
      </w:r>
      <w:hyperlink w:anchor="_ENREF_19" w:tooltip="Gilliam, 2010 #13" w:history="1">
        <w:r w:rsidR="004372FE">
          <w:rPr>
            <w:rFonts w:ascii="Verdana" w:hAnsi="Verdana"/>
            <w:noProof/>
            <w:sz w:val="20"/>
            <w:szCs w:val="20"/>
          </w:rPr>
          <w:t>Gilliam, Chatterjee, and Zhu (2010)</w:t>
        </w:r>
      </w:hyperlink>
      <w:r w:rsidR="00B3682E">
        <w:rPr>
          <w:rFonts w:ascii="Verdana" w:hAnsi="Verdana"/>
          <w:noProof/>
          <w:sz w:val="20"/>
          <w:szCs w:val="20"/>
        </w:rPr>
        <w:t xml:space="preserve">; </w:t>
      </w:r>
      <w:hyperlink w:anchor="_ENREF_52" w:tooltip="Powell, 1997 #14" w:history="1">
        <w:r w:rsidR="004372FE">
          <w:rPr>
            <w:rFonts w:ascii="Verdana" w:hAnsi="Verdana"/>
            <w:noProof/>
            <w:sz w:val="20"/>
            <w:szCs w:val="20"/>
          </w:rPr>
          <w:t>Powell and Ansic (1997)</w:t>
        </w:r>
      </w:hyperlink>
      <w:r w:rsidR="00B3682E">
        <w:rPr>
          <w:rFonts w:ascii="Verdana" w:hAnsi="Verdana"/>
          <w:sz w:val="20"/>
          <w:szCs w:val="20"/>
        </w:rPr>
        <w:fldChar w:fldCharType="end"/>
      </w:r>
      <w:r w:rsidR="00B3682E">
        <w:rPr>
          <w:rFonts w:ascii="Verdana" w:hAnsi="Verdana"/>
          <w:sz w:val="20"/>
          <w:szCs w:val="20"/>
        </w:rPr>
        <w:t xml:space="preserve">, </w:t>
      </w:r>
      <w:r w:rsidR="007E1F8A" w:rsidRPr="00195E39">
        <w:rPr>
          <w:rFonts w:ascii="Verdana" w:hAnsi="Verdana"/>
          <w:sz w:val="20"/>
          <w:szCs w:val="20"/>
        </w:rPr>
        <w:t>and</w:t>
      </w:r>
      <w:r w:rsidR="00071604">
        <w:rPr>
          <w:rFonts w:ascii="Verdana" w:hAnsi="Verdana"/>
          <w:sz w:val="20"/>
          <w:szCs w:val="20"/>
        </w:rPr>
        <w:t xml:space="preserve"> </w:t>
      </w:r>
      <w:hyperlink w:anchor="_ENREF_9" w:tooltip="Barber, 2001 #15"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AuthorYear="1"&gt;&lt;Author&gt;Barber&lt;/Author&gt;&lt;Year&gt;2001&lt;/Year&gt;&lt;RecNum&gt;15&lt;/RecNum&gt;&lt;DisplayText&gt;Barber and Odean (2001)&lt;/DisplayText&gt;&lt;record&gt;&lt;rec-number&gt;15&lt;/rec-number&gt;&lt;foreign-keys&gt;&lt;key app="EN" db-id="v5ve2td2jxzxrxee0pdpwrv99fpre2frs20r" timestamp="1703957101"&gt;15&lt;/key&gt;&lt;/foreign-keys&gt;&lt;ref-type name="Journal Article"&gt;17&lt;/ref-type&gt;&lt;contributors&gt;&lt;authors&gt;&lt;author&gt;Barber, Brad M&lt;/author&gt;&lt;author&gt;Odean, Terrance&lt;/author&gt;&lt;/authors&gt;&lt;/contributors&gt;&lt;titles&gt;&lt;title&gt;Boys will be boys: Gender, overconfidence, and common stock investment&lt;/title&gt;&lt;secondary-title&gt;The quarterly journal of economics&lt;/secondary-title&gt;&lt;/titles&gt;&lt;periodical&gt;&lt;full-title&gt;The quarterly journal of economics&lt;/full-title&gt;&lt;/periodical&gt;&lt;pages&gt;261-292&lt;/pages&gt;&lt;volume&gt;116&lt;/volume&gt;&lt;number&gt;1&lt;/number&gt;&lt;dates&gt;&lt;year&gt;2001&lt;/year&gt;&lt;/dates&gt;&lt;isbn&gt;1531-4650&lt;/isbn&gt;&lt;urls&gt;&lt;/urls&gt;&lt;electronic-resource-num&gt;https://doi.org/10.1162/003355301556400&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Barber and Odean (2001)</w:t>
        </w:r>
        <w:r w:rsidR="004372FE">
          <w:rPr>
            <w:rFonts w:ascii="Verdana" w:hAnsi="Verdana"/>
            <w:sz w:val="20"/>
            <w:szCs w:val="20"/>
          </w:rPr>
          <w:fldChar w:fldCharType="end"/>
        </w:r>
      </w:hyperlink>
      <w:r w:rsidR="007E1F8A" w:rsidRPr="00195E39">
        <w:rPr>
          <w:rFonts w:ascii="Verdana" w:hAnsi="Verdana"/>
          <w:sz w:val="20"/>
          <w:szCs w:val="20"/>
        </w:rPr>
        <w:t xml:space="preserve"> consistently indicate that, overall, women exhibit lower risk tolerance compared to men. This lower risk tolerance is reflected in various financial behaviors, including asset allocation and stock trading. Financial consultants, such as</w:t>
      </w:r>
      <w:r w:rsidR="00AD5716">
        <w:rPr>
          <w:rFonts w:ascii="Verdana" w:hAnsi="Verdana"/>
          <w:sz w:val="20"/>
          <w:szCs w:val="20"/>
        </w:rPr>
        <w:t xml:space="preserve"> </w:t>
      </w:r>
      <w:hyperlink w:anchor="_ENREF_66" w:tooltip="Wang, 1997 #16"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AuthorYear="1"&gt;&lt;Author&gt;Wang&lt;/Author&gt;&lt;Year&gt;1997&lt;/Year&gt;&lt;RecNum&gt;16&lt;/RecNum&gt;&lt;DisplayText&gt;Wang and Hanna (1997)&lt;/DisplayText&gt;&lt;record&gt;&lt;rec-number&gt;16&lt;/rec-number&gt;&lt;foreign-keys&gt;&lt;key app="EN" db-id="v5ve2td2jxzxrxee0pdpwrv99fpre2frs20r" timestamp="1703957169"&gt;16&lt;/key&gt;&lt;/foreign-keys&gt;&lt;ref-type name="Journal Article"&gt;17&lt;/ref-type&gt;&lt;contributors&gt;&lt;authors&gt;&lt;author&gt;Wang, Hui&lt;/author&gt;&lt;author&gt;Hanna, Sherman D&lt;/author&gt;&lt;/authors&gt;&lt;/contributors&gt;&lt;titles&gt;&lt;title&gt;Does risk tolerance decrease with age?&lt;/title&gt;&lt;secondary-title&gt;Financial Counseling and Planning&lt;/secondary-title&gt;&lt;/titles&gt;&lt;periodical&gt;&lt;full-title&gt;Financial Counseling and Planning&lt;/full-title&gt;&lt;/periodical&gt;&lt;volume&gt;8&lt;/volume&gt;&lt;number&gt;2&lt;/number&gt;&lt;dates&gt;&lt;year&gt;1997&lt;/year&gt;&lt;/dates&gt;&lt;urls&gt;&lt;/urls&gt;&lt;electronic-resource-num&gt;https://doi.org/10.2139/ssrn.95489&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Wang and Hanna (1997)</w:t>
        </w:r>
        <w:r w:rsidR="004372FE">
          <w:rPr>
            <w:rFonts w:ascii="Verdana" w:hAnsi="Verdana"/>
            <w:sz w:val="20"/>
            <w:szCs w:val="20"/>
          </w:rPr>
          <w:fldChar w:fldCharType="end"/>
        </w:r>
      </w:hyperlink>
      <w:r w:rsidR="005A11EF">
        <w:rPr>
          <w:rFonts w:ascii="Verdana" w:hAnsi="Verdana"/>
          <w:sz w:val="20"/>
          <w:szCs w:val="20"/>
        </w:rPr>
        <w:t>,</w:t>
      </w:r>
      <w:r w:rsidR="007E1F8A" w:rsidRPr="00195E39">
        <w:rPr>
          <w:rFonts w:ascii="Verdana" w:hAnsi="Verdana"/>
          <w:sz w:val="20"/>
          <w:szCs w:val="20"/>
        </w:rPr>
        <w:t xml:space="preserve"> support the notion that women tend to be more conservative in portfolio selection. Consequently, differences in risk attitudes contribute to variations in wealth accumulation between men and women, with women often being more conservative in their financial decisions.</w:t>
      </w:r>
    </w:p>
    <w:p w14:paraId="3E4872F4" w14:textId="77777777" w:rsidR="00EA4C9F" w:rsidRPr="00195E39" w:rsidRDefault="00EA4C9F" w:rsidP="00EA4C9F">
      <w:pPr>
        <w:ind w:left="0" w:firstLine="709"/>
        <w:rPr>
          <w:rFonts w:ascii="Verdana" w:hAnsi="Verdana"/>
          <w:sz w:val="20"/>
          <w:szCs w:val="20"/>
        </w:rPr>
      </w:pPr>
    </w:p>
    <w:p w14:paraId="7C1A36D0" w14:textId="77777777" w:rsidR="007E1F8A" w:rsidRPr="00EA4C9F" w:rsidRDefault="007E1F8A" w:rsidP="00EA4C9F">
      <w:pPr>
        <w:pStyle w:val="ListParagraph"/>
        <w:numPr>
          <w:ilvl w:val="2"/>
          <w:numId w:val="39"/>
        </w:numPr>
        <w:ind w:left="709"/>
        <w:rPr>
          <w:rFonts w:ascii="Verdana" w:hAnsi="Verdana"/>
          <w:b/>
          <w:sz w:val="22"/>
          <w:szCs w:val="22"/>
        </w:rPr>
      </w:pPr>
      <w:r w:rsidRPr="00EA4C9F">
        <w:rPr>
          <w:rFonts w:ascii="Verdana" w:hAnsi="Verdana"/>
          <w:b/>
          <w:sz w:val="22"/>
          <w:szCs w:val="22"/>
        </w:rPr>
        <w:t>Age and Risk Tolerance</w:t>
      </w:r>
    </w:p>
    <w:p w14:paraId="49B65173" w14:textId="77777777" w:rsidR="00EA4C9F" w:rsidRDefault="00EA4C9F" w:rsidP="00EA4C9F">
      <w:pPr>
        <w:ind w:left="0" w:firstLine="709"/>
        <w:rPr>
          <w:rFonts w:ascii="Verdana" w:hAnsi="Verdana"/>
          <w:sz w:val="20"/>
          <w:szCs w:val="20"/>
        </w:rPr>
      </w:pPr>
    </w:p>
    <w:p w14:paraId="14B5B16B" w14:textId="187D059E" w:rsidR="007E1F8A" w:rsidRDefault="007E1F8A" w:rsidP="00A60A82">
      <w:pPr>
        <w:ind w:left="0" w:firstLine="709"/>
        <w:rPr>
          <w:rFonts w:ascii="Verdana" w:hAnsi="Verdana"/>
          <w:sz w:val="20"/>
          <w:szCs w:val="20"/>
        </w:rPr>
      </w:pPr>
      <w:r w:rsidRPr="00195E39">
        <w:rPr>
          <w:rFonts w:ascii="Verdana" w:hAnsi="Verdana"/>
          <w:sz w:val="20"/>
          <w:szCs w:val="20"/>
        </w:rPr>
        <w:t xml:space="preserve">The common assumption that risk tolerance decreases with age is grounded in the belief that older investors, due to uncertainties related to age, tend to avoid risky investments </w:t>
      </w:r>
      <w:r w:rsidR="00EF509F">
        <w:rPr>
          <w:rFonts w:ascii="Verdana" w:hAnsi="Verdana"/>
          <w:sz w:val="20"/>
          <w:szCs w:val="20"/>
        </w:rPr>
        <w:fldChar w:fldCharType="begin"/>
      </w:r>
      <w:r w:rsidR="004372FE">
        <w:rPr>
          <w:rFonts w:ascii="Verdana" w:hAnsi="Verdana"/>
          <w:sz w:val="20"/>
          <w:szCs w:val="20"/>
        </w:rPr>
        <w:instrText xml:space="preserve"> ADDIN EN.CITE &lt;EndNote&gt;&lt;Cite&gt;&lt;Author&gt;Grable&lt;/Author&gt;&lt;Year&gt;1997&lt;/Year&gt;&lt;RecNum&gt;5&lt;/RecNum&gt;&lt;DisplayText&gt;(Grable, 1997)&lt;/DisplayText&gt;&lt;record&gt;&lt;rec-number&gt;5&lt;/rec-number&gt;&lt;foreign-keys&gt;&lt;key app="EN" db-id="v5ve2td2jxzxrxee0pdpwrv99fpre2frs20r" timestamp="1703941297"&gt;5&lt;/key&gt;&lt;/foreign-keys&gt;&lt;ref-type name="Thesis"&gt;32&lt;/ref-type&gt;&lt;contributors&gt;&lt;authors&gt;&lt;author&gt;Grable, John E&lt;/author&gt;&lt;/authors&gt;&lt;/contributors&gt;&lt;titles&gt;&lt;title&gt;Investor risk tolerance: Testing the efficacy of demographics as differentiating and classifying factors&lt;/title&gt;&lt;/titles&gt;&lt;dates&gt;&lt;year&gt;1997&lt;/year&gt;&lt;/dates&gt;&lt;publisher&gt;Virginia Tech&lt;/publisher&gt;&lt;urls&gt;&lt;related-urls&gt;&lt;url&gt;http://hdl.handle.net/10919/30762&lt;/url&gt;&lt;/related-urls&gt;&lt;/urls&gt;&lt;/record&gt;&lt;/Cite&gt;&lt;/EndNote&gt;</w:instrText>
      </w:r>
      <w:r w:rsidR="00EF509F">
        <w:rPr>
          <w:rFonts w:ascii="Verdana" w:hAnsi="Verdana"/>
          <w:sz w:val="20"/>
          <w:szCs w:val="20"/>
        </w:rPr>
        <w:fldChar w:fldCharType="separate"/>
      </w:r>
      <w:r w:rsidR="004372FE">
        <w:rPr>
          <w:rFonts w:ascii="Verdana" w:hAnsi="Verdana"/>
          <w:noProof/>
          <w:sz w:val="20"/>
          <w:szCs w:val="20"/>
        </w:rPr>
        <w:t>(</w:t>
      </w:r>
      <w:hyperlink w:anchor="_ENREF_21" w:tooltip="Grable, 1997 #5" w:history="1">
        <w:r w:rsidR="004372FE">
          <w:rPr>
            <w:rFonts w:ascii="Verdana" w:hAnsi="Verdana"/>
            <w:noProof/>
            <w:sz w:val="20"/>
            <w:szCs w:val="20"/>
          </w:rPr>
          <w:t>Grable, 1997</w:t>
        </w:r>
      </w:hyperlink>
      <w:r w:rsidR="004372FE">
        <w:rPr>
          <w:rFonts w:ascii="Verdana" w:hAnsi="Verdana"/>
          <w:noProof/>
          <w:sz w:val="20"/>
          <w:szCs w:val="20"/>
        </w:rPr>
        <w:t>)</w:t>
      </w:r>
      <w:r w:rsidR="00EF509F">
        <w:rPr>
          <w:rFonts w:ascii="Verdana" w:hAnsi="Verdana"/>
          <w:sz w:val="20"/>
          <w:szCs w:val="20"/>
        </w:rPr>
        <w:fldChar w:fldCharType="end"/>
      </w:r>
      <w:r w:rsidR="00EF509F">
        <w:rPr>
          <w:rFonts w:ascii="Verdana" w:hAnsi="Verdana"/>
          <w:sz w:val="20"/>
          <w:szCs w:val="20"/>
        </w:rPr>
        <w:t xml:space="preserve">. </w:t>
      </w:r>
      <w:hyperlink w:anchor="_ENREF_25" w:tooltip="Hallahan, 2004 #17"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AuthorYear="1"&gt;&lt;Author&gt;Hallahan&lt;/Author&gt;&lt;Year&gt;2004&lt;/Year&gt;&lt;RecNum&gt;17&lt;/RecNum&gt;&lt;DisplayText&gt;Hallahan et al. (2004)&lt;/DisplayText&gt;&lt;record&gt;&lt;rec-number&gt;17&lt;/rec-number&gt;&lt;foreign-keys&gt;&lt;key app="EN" db-id="v5ve2td2jxzxrxee0pdpwrv99fpre2frs20r" timestamp="1703957319"&gt;17&lt;/key&gt;&lt;/foreign-keys&gt;&lt;ref-type name="Journal Article"&gt;17&lt;/ref-type&gt;&lt;contributors&gt;&lt;authors&gt;&lt;author&gt;Hallahan, Terrence A&lt;/author&gt;&lt;author&gt;Faff, Robert W&lt;/author&gt;&lt;author&gt;McKenzie, Michael D&lt;/author&gt;&lt;/authors&gt;&lt;/contributors&gt;&lt;titles&gt;&lt;title&gt;An empirical investigation of personal financial risk tolerance&lt;/title&gt;&lt;secondary-title&gt;Financial Services Review-greenwich-&lt;/secondary-title&gt;&lt;/titles&gt;&lt;periodical&gt;&lt;full-title&gt;Financial Services Review-greenwich-&lt;/full-title&gt;&lt;/periodical&gt;&lt;pages&gt;57-78&lt;/pages&gt;&lt;volume&gt;13&lt;/volume&gt;&lt;number&gt;1&lt;/number&gt;&lt;dates&gt;&lt;year&gt;2004&lt;/year&gt;&lt;/dates&gt;&lt;isbn&gt;1057-0810&lt;/isbn&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Hallahan et al. (2004)</w:t>
        </w:r>
        <w:r w:rsidR="004372FE">
          <w:rPr>
            <w:rFonts w:ascii="Verdana" w:hAnsi="Verdana"/>
            <w:sz w:val="20"/>
            <w:szCs w:val="20"/>
          </w:rPr>
          <w:fldChar w:fldCharType="end"/>
        </w:r>
      </w:hyperlink>
      <w:r w:rsidR="007A4501">
        <w:rPr>
          <w:rFonts w:ascii="Verdana" w:hAnsi="Verdana"/>
          <w:sz w:val="20"/>
          <w:szCs w:val="20"/>
        </w:rPr>
        <w:t xml:space="preserve"> </w:t>
      </w:r>
      <w:r w:rsidRPr="00195E39">
        <w:rPr>
          <w:rFonts w:ascii="Verdana" w:hAnsi="Verdana"/>
          <w:sz w:val="20"/>
          <w:szCs w:val="20"/>
        </w:rPr>
        <w:t>attribute this decline in risk-taking to biological changes associated with aging. However, the relationship between age and risk tolerance is not universally agreed upon.</w:t>
      </w:r>
      <w:r w:rsidR="003320A6">
        <w:rPr>
          <w:rFonts w:ascii="Verdana" w:hAnsi="Verdana"/>
          <w:sz w:val="20"/>
          <w:szCs w:val="20"/>
        </w:rPr>
        <w:t xml:space="preserve"> </w:t>
      </w:r>
      <w:hyperlink w:anchor="_ENREF_31" w:tooltip="Jianakoplos, 2006 #18"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AuthorYear="1"&gt;&lt;Author&gt;Jianakoplos&lt;/Author&gt;&lt;Year&gt;2006&lt;/Year&gt;&lt;RecNum&gt;18&lt;/RecNum&gt;&lt;DisplayText&gt;Jianakoplos and Bernasek (2006)&lt;/DisplayText&gt;&lt;record&gt;&lt;rec-number&gt;18&lt;/rec-number&gt;&lt;foreign-keys&gt;&lt;key app="EN" db-id="v5ve2td2jxzxrxee0pdpwrv99fpre2frs20r" timestamp="1703957400"&gt;18&lt;/key&gt;&lt;/foreign-keys&gt;&lt;ref-type name="Journal Article"&gt;17&lt;/ref-type&gt;&lt;contributors&gt;&lt;authors&gt;&lt;author&gt;Jianakoplos, Nancy Ammon&lt;/author&gt;&lt;author&gt;Bernasek, Alexandra&lt;/author&gt;&lt;/authors&gt;&lt;/contributors&gt;&lt;titles&gt;&lt;title&gt;Financial risk taking by age and birth cohort&lt;/title&gt;&lt;secondary-title&gt;Southern Economic Journal&lt;/secondary-title&gt;&lt;/titles&gt;&lt;periodical&gt;&lt;full-title&gt;Southern Economic Journal&lt;/full-title&gt;&lt;/periodical&gt;&lt;pages&gt;981-1001&lt;/pages&gt;&lt;volume&gt;72&lt;/volume&gt;&lt;number&gt;4&lt;/number&gt;&lt;dates&gt;&lt;year&gt;2006&lt;/year&gt;&lt;/dates&gt;&lt;isbn&gt;0038-4038&lt;/isbn&gt;&lt;urls&gt;&lt;/urls&gt;&lt;electronic-resource-num&gt; https://doi.org/10.1002/j.2325-8012.2006.tb00749.x&lt;/electronic-resource-num&gt;&lt;/record&gt;&lt;/Cite&gt;&lt;/EndNote&gt;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Jianakoplos and Bernasek (2006)</w:t>
        </w:r>
        <w:r w:rsidR="004372FE">
          <w:rPr>
            <w:rFonts w:ascii="Verdana" w:hAnsi="Verdana"/>
            <w:sz w:val="20"/>
            <w:szCs w:val="20"/>
          </w:rPr>
          <w:fldChar w:fldCharType="end"/>
        </w:r>
      </w:hyperlink>
      <w:r w:rsidR="003320A6">
        <w:rPr>
          <w:rFonts w:ascii="Verdana" w:hAnsi="Verdana"/>
          <w:sz w:val="20"/>
          <w:szCs w:val="20"/>
        </w:rPr>
        <w:t xml:space="preserve"> </w:t>
      </w:r>
      <w:r w:rsidRPr="00195E39">
        <w:rPr>
          <w:rFonts w:ascii="Verdana" w:hAnsi="Verdana"/>
          <w:sz w:val="20"/>
          <w:szCs w:val="20"/>
        </w:rPr>
        <w:t>found a negative correlation between financial risk tolerance and age. In contrast,</w:t>
      </w:r>
      <w:r w:rsidR="002F1F0F">
        <w:rPr>
          <w:rFonts w:ascii="Verdana" w:hAnsi="Verdana"/>
          <w:sz w:val="20"/>
          <w:szCs w:val="20"/>
        </w:rPr>
        <w:t xml:space="preserve"> </w:t>
      </w:r>
      <w:hyperlink w:anchor="_ENREF_27" w:tooltip="Hanna, 2004 #19"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AuthorYear="1"&gt;&lt;Author&gt;Hanna&lt;/Author&gt;&lt;Year&gt;2004&lt;/Year&gt;&lt;RecNum&gt;19&lt;/RecNum&gt;&lt;DisplayText&gt;Hanna and Lindamood (2004)&lt;/DisplayText&gt;&lt;record&gt;&lt;rec-number&gt;19&lt;/rec-number&gt;&lt;foreign-keys&gt;&lt;key app="EN" db-id="v5ve2td2jxzxrxee0pdpwrv99fpre2frs20r" timestamp="1703957486"&gt;19&lt;/key&gt;&lt;/foreign-keys&gt;&lt;ref-type name="Journal Article"&gt;17&lt;/ref-type&gt;&lt;contributors&gt;&lt;authors&gt;&lt;author&gt;Hanna, Sherman D&lt;/author&gt;&lt;author&gt;Lindamood, Suzanne&lt;/author&gt;&lt;/authors&gt;&lt;/contributors&gt;&lt;titles&gt;&lt;title&gt;An improved measure of risk aversion&lt;/title&gt;&lt;secondary-title&gt;Journal of Financial Counseling and Planning&lt;/secondary-title&gt;&lt;/titles&gt;&lt;periodical&gt;&lt;full-title&gt;Journal of Financial Counseling and Planning&lt;/full-title&gt;&lt;/periodical&gt;&lt;pages&gt;27-45&lt;/pages&gt;&lt;volume&gt;15&lt;/volume&gt;&lt;number&gt;2&lt;/number&gt;&lt;dates&gt;&lt;year&gt;2004&lt;/year&gt;&lt;/dates&gt;&lt;urls&gt;&lt;related-urls&gt;&lt;url&gt;https://ssrn.com/abstract=2255180&lt;/url&gt;&lt;/related-urls&gt;&lt;/urls&gt;&lt;/record&gt;&lt;/Cite&gt;&lt;/EndNote&gt;</w:instrText>
        </w:r>
        <w:r w:rsidR="004372FE">
          <w:rPr>
            <w:rFonts w:ascii="Verdana" w:hAnsi="Verdana"/>
            <w:sz w:val="20"/>
            <w:szCs w:val="20"/>
          </w:rPr>
          <w:fldChar w:fldCharType="separate"/>
        </w:r>
        <w:r w:rsidR="004372FE">
          <w:rPr>
            <w:rFonts w:ascii="Verdana" w:hAnsi="Verdana"/>
            <w:noProof/>
            <w:sz w:val="20"/>
            <w:szCs w:val="20"/>
          </w:rPr>
          <w:t>Hanna and Lindamood (2004)</w:t>
        </w:r>
        <w:r w:rsidR="004372FE">
          <w:rPr>
            <w:rFonts w:ascii="Verdana" w:hAnsi="Verdana"/>
            <w:sz w:val="20"/>
            <w:szCs w:val="20"/>
          </w:rPr>
          <w:fldChar w:fldCharType="end"/>
        </w:r>
      </w:hyperlink>
      <w:r w:rsidRPr="00195E39">
        <w:rPr>
          <w:rFonts w:ascii="Verdana" w:hAnsi="Verdana"/>
          <w:sz w:val="20"/>
          <w:szCs w:val="20"/>
        </w:rPr>
        <w:t xml:space="preserve"> reported a positive relationship, suggesting that younger individuals, with more time to recover from potential losses, are more willing to engage in riskier ventures, such as real estate investments, for higher returns. Younger investors, often in their early adulthood or mid-career stage, typically exhibit higher risk tolerance.</w:t>
      </w:r>
    </w:p>
    <w:p w14:paraId="563F4C44" w14:textId="77777777" w:rsidR="00EA4C9F" w:rsidRPr="00195E39" w:rsidRDefault="00EA4C9F" w:rsidP="00EA4C9F">
      <w:pPr>
        <w:ind w:left="0" w:firstLine="709"/>
        <w:rPr>
          <w:rFonts w:ascii="Verdana" w:hAnsi="Verdana"/>
          <w:sz w:val="20"/>
          <w:szCs w:val="20"/>
        </w:rPr>
      </w:pPr>
    </w:p>
    <w:p w14:paraId="1964000F" w14:textId="77777777" w:rsidR="007E1F8A" w:rsidRPr="00EA4C9F" w:rsidRDefault="007E1F8A" w:rsidP="00EA4C9F">
      <w:pPr>
        <w:pStyle w:val="ListParagraph"/>
        <w:numPr>
          <w:ilvl w:val="2"/>
          <w:numId w:val="39"/>
        </w:numPr>
        <w:ind w:left="709"/>
        <w:rPr>
          <w:rFonts w:ascii="Verdana" w:hAnsi="Verdana"/>
          <w:b/>
          <w:sz w:val="22"/>
          <w:szCs w:val="22"/>
        </w:rPr>
      </w:pPr>
      <w:r w:rsidRPr="00EA4C9F">
        <w:rPr>
          <w:rFonts w:ascii="Verdana" w:hAnsi="Verdana"/>
          <w:b/>
          <w:sz w:val="22"/>
          <w:szCs w:val="22"/>
        </w:rPr>
        <w:t>Marital Status</w:t>
      </w:r>
    </w:p>
    <w:p w14:paraId="73BAAA77" w14:textId="77777777" w:rsidR="00EA4C9F" w:rsidRDefault="00EA4C9F" w:rsidP="00EA4C9F">
      <w:pPr>
        <w:ind w:left="0" w:firstLine="709"/>
        <w:rPr>
          <w:rFonts w:ascii="Verdana" w:hAnsi="Verdana"/>
          <w:sz w:val="20"/>
          <w:szCs w:val="20"/>
        </w:rPr>
      </w:pPr>
    </w:p>
    <w:p w14:paraId="2C62FD0B" w14:textId="4E24B7A3" w:rsidR="007E1F8A" w:rsidRDefault="007E1F8A" w:rsidP="00A60A82">
      <w:pPr>
        <w:ind w:left="0" w:firstLine="709"/>
        <w:rPr>
          <w:rFonts w:ascii="Verdana" w:hAnsi="Verdana"/>
          <w:sz w:val="20"/>
          <w:szCs w:val="20"/>
        </w:rPr>
      </w:pPr>
      <w:r w:rsidRPr="00195E39">
        <w:rPr>
          <w:rFonts w:ascii="Verdana" w:hAnsi="Verdana"/>
          <w:sz w:val="20"/>
          <w:szCs w:val="20"/>
        </w:rPr>
        <w:t>Marital status is a significant factor influencing individual risk tolerance</w:t>
      </w:r>
      <w:r w:rsidR="00994140">
        <w:rPr>
          <w:rFonts w:ascii="Verdana" w:hAnsi="Verdana"/>
          <w:sz w:val="20"/>
          <w:szCs w:val="20"/>
        </w:rPr>
        <w:t xml:space="preserve"> </w:t>
      </w:r>
      <w:r w:rsidR="00994140">
        <w:rPr>
          <w:rFonts w:ascii="Verdana" w:hAnsi="Verdana"/>
          <w:sz w:val="20"/>
          <w:szCs w:val="20"/>
        </w:rPr>
        <w:fldChar w:fldCharType="begin"/>
      </w:r>
      <w:r w:rsidR="004372FE">
        <w:rPr>
          <w:rFonts w:ascii="Verdana" w:hAnsi="Verdana"/>
          <w:sz w:val="20"/>
          <w:szCs w:val="20"/>
        </w:rPr>
        <w:instrText xml:space="preserve"> ADDIN EN.CITE &lt;EndNote&gt;&lt;Cite&gt;&lt;Author&gt;Grable&lt;/Author&gt;&lt;Year&gt;2000&lt;/Year&gt;&lt;RecNum&gt;10&lt;/RecNum&gt;&lt;DisplayText&gt;(Grable, 2000)&lt;/DisplayText&gt;&lt;record&gt;&lt;rec-number&gt;10&lt;/rec-number&gt;&lt;foreign-keys&gt;&lt;key app="EN" db-id="v5ve2td2jxzxrxee0pdpwrv99fpre2frs20r" timestamp="1703956334"&gt;10&lt;/key&gt;&lt;/foreign-keys&gt;&lt;ref-type name="Journal Article"&gt;17&lt;/ref-type&gt;&lt;contributors&gt;&lt;authors&gt;&lt;author&gt;Grable, John E&lt;/author&gt;&lt;/authors&gt;&lt;/contributors&gt;&lt;titles&gt;&lt;title&gt;Financial risk tolerance and additional factors that affect risk taking in everyday money matters&lt;/title&gt;&lt;secondary-title&gt;Journal of business and psychology&lt;/secondary-title&gt;&lt;/titles&gt;&lt;periodical&gt;&lt;full-title&gt;Journal of business and psychology&lt;/full-title&gt;&lt;/periodical&gt;&lt;pages&gt;625-630&lt;/pages&gt;&lt;volume&gt;14&lt;/volume&gt;&lt;dates&gt;&lt;year&gt;2000&lt;/year&gt;&lt;/dates&gt;&lt;isbn&gt;0889-3268&lt;/isbn&gt;&lt;urls&gt;&lt;/urls&gt;&lt;electronic-resource-num&gt;https://doi.org/10.1023/A:1022994314982&lt;/electronic-resource-num&gt;&lt;/record&gt;&lt;/Cite&gt;&lt;/EndNote&gt;</w:instrText>
      </w:r>
      <w:r w:rsidR="00994140">
        <w:rPr>
          <w:rFonts w:ascii="Verdana" w:hAnsi="Verdana"/>
          <w:sz w:val="20"/>
          <w:szCs w:val="20"/>
        </w:rPr>
        <w:fldChar w:fldCharType="separate"/>
      </w:r>
      <w:r w:rsidR="004372FE">
        <w:rPr>
          <w:rFonts w:ascii="Verdana" w:hAnsi="Verdana"/>
          <w:noProof/>
          <w:sz w:val="20"/>
          <w:szCs w:val="20"/>
        </w:rPr>
        <w:t>(</w:t>
      </w:r>
      <w:hyperlink w:anchor="_ENREF_22" w:tooltip="Grable, 2000 #10" w:history="1">
        <w:r w:rsidR="004372FE">
          <w:rPr>
            <w:rFonts w:ascii="Verdana" w:hAnsi="Verdana"/>
            <w:noProof/>
            <w:sz w:val="20"/>
            <w:szCs w:val="20"/>
          </w:rPr>
          <w:t>Grable, 2000</w:t>
        </w:r>
      </w:hyperlink>
      <w:r w:rsidR="004372FE">
        <w:rPr>
          <w:rFonts w:ascii="Verdana" w:hAnsi="Verdana"/>
          <w:noProof/>
          <w:sz w:val="20"/>
          <w:szCs w:val="20"/>
        </w:rPr>
        <w:t>)</w:t>
      </w:r>
      <w:r w:rsidR="00994140">
        <w:rPr>
          <w:rFonts w:ascii="Verdana" w:hAnsi="Verdana"/>
          <w:sz w:val="20"/>
          <w:szCs w:val="20"/>
        </w:rPr>
        <w:fldChar w:fldCharType="end"/>
      </w:r>
      <w:r w:rsidR="00994140">
        <w:rPr>
          <w:rFonts w:ascii="Verdana" w:hAnsi="Verdana"/>
          <w:sz w:val="20"/>
          <w:szCs w:val="20"/>
        </w:rPr>
        <w:t>.</w:t>
      </w:r>
      <w:r w:rsidRPr="00195E39">
        <w:rPr>
          <w:rFonts w:ascii="Verdana" w:hAnsi="Verdana"/>
          <w:sz w:val="20"/>
          <w:szCs w:val="20"/>
        </w:rPr>
        <w:t xml:space="preserve"> However, literature on this topic is limited. Generally, it is believed that compared to married individuals, singles tend to be more risk-tolerant, attributed to fewer household responsibilities </w:t>
      </w:r>
      <w:r w:rsidR="00394708">
        <w:rPr>
          <w:rFonts w:ascii="Verdana" w:hAnsi="Verdana"/>
          <w:sz w:val="20"/>
          <w:szCs w:val="20"/>
        </w:rPr>
        <w:fldChar w:fldCharType="begin">
          <w:fldData xml:space="preserve">PEVuZE5vdGU+PENpdGU+PEF1dGhvcj5HcmFibGU8L0F1dGhvcj48WWVhcj4xOTk5PC9ZZWFyPjxS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=
</w:fldData>
        </w:fldChar>
      </w:r>
      <w:r w:rsidR="004372FE">
        <w:rPr>
          <w:rFonts w:ascii="Verdana" w:hAnsi="Verdana"/>
          <w:sz w:val="20"/>
          <w:szCs w:val="20"/>
        </w:rPr>
        <w:instrText xml:space="preserve"> ADDIN EN.CITE </w:instrText>
      </w:r>
      <w:r w:rsidR="004372FE">
        <w:rPr>
          <w:rFonts w:ascii="Verdana" w:hAnsi="Verdana"/>
          <w:sz w:val="20"/>
          <w:szCs w:val="20"/>
        </w:rPr>
        <w:fldChar w:fldCharType="begin">
          <w:fldData xml:space="preserve">PEVuZE5vdGU+PENpdGU+PEF1dGhvcj5HcmFibGU8L0F1dGhvcj48WWVhcj4xOTk5PC9ZZWFyPjxS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=
</w:fldData>
        </w:fldChar>
      </w:r>
      <w:r w:rsidR="004372FE">
        <w:rPr>
          <w:rFonts w:ascii="Verdana" w:hAnsi="Verdana"/>
          <w:sz w:val="20"/>
          <w:szCs w:val="20"/>
        </w:rPr>
        <w:instrText xml:space="preserve"> ADDIN EN.CITE.DATA </w:instrText>
      </w:r>
      <w:r w:rsidR="004372FE">
        <w:rPr>
          <w:rFonts w:ascii="Verdana" w:hAnsi="Verdana"/>
          <w:sz w:val="20"/>
          <w:szCs w:val="20"/>
        </w:rPr>
      </w:r>
      <w:r w:rsidR="004372FE">
        <w:rPr>
          <w:rFonts w:ascii="Verdana" w:hAnsi="Verdana"/>
          <w:sz w:val="20"/>
          <w:szCs w:val="20"/>
        </w:rPr>
        <w:fldChar w:fldCharType="end"/>
      </w:r>
      <w:r w:rsidR="00394708">
        <w:rPr>
          <w:rFonts w:ascii="Verdana" w:hAnsi="Verdana"/>
          <w:sz w:val="20"/>
          <w:szCs w:val="20"/>
        </w:rPr>
      </w:r>
      <w:r w:rsidR="00394708">
        <w:rPr>
          <w:rFonts w:ascii="Verdana" w:hAnsi="Verdana"/>
          <w:sz w:val="20"/>
          <w:szCs w:val="20"/>
        </w:rPr>
        <w:fldChar w:fldCharType="separate"/>
      </w:r>
      <w:r w:rsidR="004372FE">
        <w:rPr>
          <w:rFonts w:ascii="Verdana" w:hAnsi="Verdana"/>
          <w:noProof/>
          <w:sz w:val="20"/>
          <w:szCs w:val="20"/>
        </w:rPr>
        <w:t>(</w:t>
      </w:r>
      <w:hyperlink w:anchor="_ENREF_20" w:tooltip="Grable, 1999 #20" w:history="1">
        <w:r w:rsidR="004372FE">
          <w:rPr>
            <w:rFonts w:ascii="Verdana" w:hAnsi="Verdana"/>
            <w:noProof/>
            <w:sz w:val="20"/>
            <w:szCs w:val="20"/>
          </w:rPr>
          <w:t>Grable &amp; Lytton, 1999</w:t>
        </w:r>
      </w:hyperlink>
      <w:r w:rsidR="004372FE">
        <w:rPr>
          <w:rFonts w:ascii="Verdana" w:hAnsi="Verdana"/>
          <w:noProof/>
          <w:sz w:val="20"/>
          <w:szCs w:val="20"/>
        </w:rPr>
        <w:t xml:space="preserve">; </w:t>
      </w:r>
      <w:hyperlink w:anchor="_ENREF_23" w:tooltip="Grable, 2001 #22" w:history="1">
        <w:r w:rsidR="004372FE">
          <w:rPr>
            <w:rFonts w:ascii="Verdana" w:hAnsi="Verdana"/>
            <w:noProof/>
            <w:sz w:val="20"/>
            <w:szCs w:val="20"/>
          </w:rPr>
          <w:t>Grable &amp; Lytton, 2001</w:t>
        </w:r>
      </w:hyperlink>
      <w:r w:rsidR="004372FE">
        <w:rPr>
          <w:rFonts w:ascii="Verdana" w:hAnsi="Verdana"/>
          <w:noProof/>
          <w:sz w:val="20"/>
          <w:szCs w:val="20"/>
        </w:rPr>
        <w:t xml:space="preserve">; </w:t>
      </w:r>
      <w:hyperlink w:anchor="_ENREF_67" w:tooltip="Yao, 2005 #21" w:history="1">
        <w:r w:rsidR="004372FE">
          <w:rPr>
            <w:rFonts w:ascii="Verdana" w:hAnsi="Verdana"/>
            <w:noProof/>
            <w:sz w:val="20"/>
            <w:szCs w:val="20"/>
          </w:rPr>
          <w:t>Yao &amp; Hanna, 2005</w:t>
        </w:r>
      </w:hyperlink>
      <w:r w:rsidR="004372FE">
        <w:rPr>
          <w:rFonts w:ascii="Verdana" w:hAnsi="Verdana"/>
          <w:noProof/>
          <w:sz w:val="20"/>
          <w:szCs w:val="20"/>
        </w:rPr>
        <w:t>)</w:t>
      </w:r>
      <w:r w:rsidR="00394708">
        <w:rPr>
          <w:rFonts w:ascii="Verdana" w:hAnsi="Verdana"/>
          <w:sz w:val="20"/>
          <w:szCs w:val="20"/>
        </w:rPr>
        <w:fldChar w:fldCharType="end"/>
      </w:r>
      <w:r w:rsidR="00F05544">
        <w:rPr>
          <w:rFonts w:ascii="Verdana" w:hAnsi="Verdana"/>
          <w:sz w:val="20"/>
          <w:szCs w:val="20"/>
        </w:rPr>
        <w:t xml:space="preserve">. </w:t>
      </w:r>
      <w:hyperlink w:anchor="_ENREF_16" w:tooltip="Faff, 2008 #23"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AuthorYear="1"&gt;&lt;Author&gt;Faff&lt;/Author&gt;&lt;Year&gt;2008&lt;/Year&gt;&lt;RecNum&gt;23&lt;/RecNum&gt;&lt;DisplayText&gt;Faff, Mulino, and Chai (2008)&lt;/DisplayText&gt;&lt;record&gt;&lt;rec-number&gt;23&lt;/rec-number&gt;&lt;foreign-keys&gt;&lt;key app="EN" db-id="v5ve2td2jxzxrxee0pdpwrv99fpre2frs20r" timestamp="1703957820"&gt;23&lt;/key&gt;&lt;/foreign-keys&gt;&lt;ref-type name="Journal Article"&gt;17&lt;/ref-type&gt;&lt;contributors&gt;&lt;authors&gt;&lt;author&gt;Faff, Robert&lt;/author&gt;&lt;author&gt;Mulino, Daniel&lt;/author&gt;&lt;author&gt;Chai, Daniel&lt;/author&gt;&lt;/authors&gt;&lt;/contributors&gt;&lt;titles&gt;&lt;title&gt;On the linkage between financial risk tolerance and risk aversion&lt;/title&gt;&lt;secondary-title&gt;Journal of financial research&lt;/secondary-title&gt;&lt;/titles&gt;&lt;periodical&gt;&lt;full-title&gt;Journal of financial research&lt;/full-title&gt;&lt;/periodical&gt;&lt;pages&gt;1-23&lt;/pages&gt;&lt;volume&gt;31&lt;/volume&gt;&lt;number&gt;1&lt;/number&gt;&lt;dates&gt;&lt;year&gt;2008&lt;/year&gt;&lt;/dates&gt;&lt;isbn&gt;0270-2592&lt;/isbn&gt;&lt;urls&gt;&lt;/urls&gt;&lt;electronic-resource-num&gt;https://doi.org/10.1111/j.1475-6803.2008.00229.x&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Faff, Mulino, and Chai (2008)</w:t>
        </w:r>
        <w:r w:rsidR="004372FE">
          <w:rPr>
            <w:rFonts w:ascii="Verdana" w:hAnsi="Verdana"/>
            <w:sz w:val="20"/>
            <w:szCs w:val="20"/>
          </w:rPr>
          <w:fldChar w:fldCharType="end"/>
        </w:r>
      </w:hyperlink>
      <w:r w:rsidR="00F05544">
        <w:rPr>
          <w:rFonts w:ascii="Verdana" w:hAnsi="Verdana"/>
          <w:sz w:val="20"/>
          <w:szCs w:val="20"/>
        </w:rPr>
        <w:t xml:space="preserve"> </w:t>
      </w:r>
      <w:r w:rsidRPr="00195E39">
        <w:rPr>
          <w:rFonts w:ascii="Verdana" w:hAnsi="Verdana"/>
          <w:sz w:val="20"/>
          <w:szCs w:val="20"/>
        </w:rPr>
        <w:t xml:space="preserve">found that single individuals exhibit more aggressive risk-taking behavior than married couples, although they question the practical significance of this relationship. </w:t>
      </w:r>
      <w:hyperlink w:anchor="_ENREF_6" w:tooltip="Ardehali, 2005 #24"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AuthorYear="1"&gt;&lt;Author&gt;Ardehali&lt;/Author&gt;&lt;Year&gt;2005&lt;/Year&gt;&lt;RecNum&gt;24&lt;/RecNum&gt;&lt;DisplayText&gt;Ardehali, Paradi, and Asmild (2005)&lt;/DisplayText&gt;&lt;record&gt;&lt;rec-number&gt;24&lt;/rec-number&gt;&lt;foreign-keys&gt;&lt;key app="EN" db-id="v5ve2td2jxzxrxee0pdpwrv99fpre2frs20r" timestamp="1703957914"&gt;24&lt;/key&gt;&lt;/foreign-keys&gt;&lt;ref-type name="Journal Article"&gt;17&lt;/ref-type&gt;&lt;contributors&gt;&lt;authors&gt;&lt;author&gt;Ardehali, Parisa Hosseini&lt;/author&gt;&lt;author&gt;Paradi, Joseph C&lt;/author&gt;&lt;author&gt;Asmild, Mette&lt;/author&gt;&lt;/authors&gt;&lt;/contributors&gt;&lt;titles&gt;&lt;title&gt;Assessing financial risk tolerance of portfolio investors using data envelopment analysis&lt;/title&gt;&lt;secondary-title&gt;International Journal of Information Technology &amp;amp; Decision Making&lt;/secondary-title&gt;&lt;/titles&gt;&lt;periodical&gt;&lt;full-title&gt;International Journal of Information Technology &amp;amp; Decision Making&lt;/full-title&gt;&lt;/periodical&gt;&lt;pages&gt;491-519&lt;/pages&gt;&lt;volume&gt;4&lt;/volume&gt;&lt;number&gt;03&lt;/number&gt;&lt;dates&gt;&lt;year&gt;2005&lt;/year&gt;&lt;/dates&gt;&lt;isbn&gt;0219-6220&lt;/isbn&gt;&lt;urls&gt;&lt;/urls&gt;&lt;electronic-resource-num&gt;https://doi.org/10.1142/S0219622005001660&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Ardehali, Paradi, and Asmild (2005)</w:t>
        </w:r>
        <w:r w:rsidR="004372FE">
          <w:rPr>
            <w:rFonts w:ascii="Verdana" w:hAnsi="Verdana"/>
            <w:sz w:val="20"/>
            <w:szCs w:val="20"/>
          </w:rPr>
          <w:fldChar w:fldCharType="end"/>
        </w:r>
      </w:hyperlink>
      <w:r w:rsidR="00A52A27">
        <w:rPr>
          <w:rFonts w:ascii="Verdana" w:hAnsi="Verdana"/>
          <w:sz w:val="20"/>
          <w:szCs w:val="20"/>
        </w:rPr>
        <w:t xml:space="preserve"> </w:t>
      </w:r>
      <w:r w:rsidRPr="00195E39">
        <w:rPr>
          <w:rFonts w:ascii="Verdana" w:hAnsi="Verdana"/>
          <w:sz w:val="20"/>
          <w:szCs w:val="20"/>
        </w:rPr>
        <w:t xml:space="preserve">reported that singles are more aggressive in risk-taking, suggesting that monetary loss affects married couples more than singles. </w:t>
      </w:r>
      <w:hyperlink w:anchor="_ENREF_15" w:tooltip="Chaulk, 2003 #25"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AuthorYear="1"&gt;&lt;Author&gt;Chaulk&lt;/Author&gt;&lt;Year&gt;2003&lt;/Year&gt;&lt;RecNum&gt;25&lt;/RecNum&gt;&lt;DisplayText&gt;Chaulk, Johnson, and Bulcroft (2003)&lt;/DisplayText&gt;&lt;record&gt;&lt;rec-number&gt;25&lt;/rec-number&gt;&lt;foreign-keys&gt;&lt;key app="EN" db-id="v5ve2td2jxzxrxee0pdpwrv99fpre2frs20r" timestamp="1703958047"&gt;25&lt;/key&gt;&lt;/foreign-keys&gt;&lt;ref-type name="Journal Article"&gt;17&lt;/ref-type&gt;&lt;contributors&gt;&lt;authors&gt;&lt;author&gt;Chaulk, Barbara&lt;/author&gt;&lt;author&gt;Johnson, Phyllis J&lt;/author&gt;&lt;author&gt;Bulcroft, Richard&lt;/author&gt;&lt;/authors&gt;&lt;/contributors&gt;&lt;titles&gt;&lt;title&gt;Effects of marriage and children on financial risk tolerance: A synthesis of family development and prospect theory&lt;/title&gt;&lt;secondary-title&gt;Journal of Family and Economic Issues&lt;/secondary-title&gt;&lt;/titles&gt;&lt;periodical&gt;&lt;full-title&gt;Journal of Family and Economic Issues&lt;/full-title&gt;&lt;/periodical&gt;&lt;pages&gt;257-279&lt;/pages&gt;&lt;volume&gt;24&lt;/volume&gt;&lt;dates&gt;&lt;year&gt;2003&lt;/year&gt;&lt;/dates&gt;&lt;isbn&gt;1058-0476&lt;/isbn&gt;&lt;urls&gt;&lt;/urls&gt;&lt;electronic-resource-num&gt;https://doi.org/10.1023/A:1025495221519&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Chaulk, Johnson, and Bulcroft (2003)</w:t>
        </w:r>
        <w:r w:rsidR="004372FE">
          <w:rPr>
            <w:rFonts w:ascii="Verdana" w:hAnsi="Verdana"/>
            <w:sz w:val="20"/>
            <w:szCs w:val="20"/>
          </w:rPr>
          <w:fldChar w:fldCharType="end"/>
        </w:r>
      </w:hyperlink>
      <w:r w:rsidR="0045528D">
        <w:rPr>
          <w:rFonts w:ascii="Verdana" w:hAnsi="Verdana"/>
          <w:sz w:val="20"/>
          <w:szCs w:val="20"/>
        </w:rPr>
        <w:t xml:space="preserve"> </w:t>
      </w:r>
      <w:r w:rsidRPr="00195E39">
        <w:rPr>
          <w:rFonts w:ascii="Verdana" w:hAnsi="Verdana"/>
          <w:sz w:val="20"/>
          <w:szCs w:val="20"/>
        </w:rPr>
        <w:t>proposed that married couples' risk tolerance decreases due to increased dependents, future commitments, and the need for wealth protection.</w:t>
      </w:r>
    </w:p>
    <w:p w14:paraId="091AB071" w14:textId="77777777" w:rsidR="00EA4C9F" w:rsidRPr="00195E39" w:rsidRDefault="00EA4C9F" w:rsidP="00EA4C9F">
      <w:pPr>
        <w:ind w:left="0" w:firstLine="709"/>
        <w:rPr>
          <w:rFonts w:ascii="Verdana" w:hAnsi="Verdana"/>
          <w:sz w:val="20"/>
          <w:szCs w:val="20"/>
        </w:rPr>
      </w:pPr>
    </w:p>
    <w:p w14:paraId="6C924E4F" w14:textId="77777777" w:rsidR="007E1F8A" w:rsidRPr="00EA4C9F" w:rsidRDefault="007E1F8A" w:rsidP="00EA4C9F">
      <w:pPr>
        <w:pStyle w:val="ListParagraph"/>
        <w:numPr>
          <w:ilvl w:val="2"/>
          <w:numId w:val="39"/>
        </w:numPr>
        <w:ind w:left="709"/>
        <w:rPr>
          <w:rFonts w:ascii="Verdana" w:hAnsi="Verdana"/>
          <w:b/>
          <w:sz w:val="22"/>
          <w:szCs w:val="22"/>
        </w:rPr>
      </w:pPr>
      <w:r w:rsidRPr="00EA4C9F">
        <w:rPr>
          <w:rFonts w:ascii="Verdana" w:hAnsi="Verdana"/>
          <w:b/>
          <w:sz w:val="22"/>
          <w:szCs w:val="22"/>
        </w:rPr>
        <w:t>Education</w:t>
      </w:r>
    </w:p>
    <w:p w14:paraId="789D7141" w14:textId="77777777" w:rsidR="00EA4C9F" w:rsidRDefault="00EA4C9F" w:rsidP="00EA4C9F">
      <w:pPr>
        <w:ind w:left="0" w:firstLine="709"/>
        <w:rPr>
          <w:rFonts w:ascii="Verdana" w:hAnsi="Verdana"/>
          <w:sz w:val="20"/>
          <w:szCs w:val="20"/>
        </w:rPr>
      </w:pPr>
    </w:p>
    <w:p w14:paraId="43D31932" w14:textId="2BE0BEB9" w:rsidR="007E1F8A" w:rsidRPr="00B91112" w:rsidRDefault="007E1F8A" w:rsidP="00A60A82">
      <w:pPr>
        <w:ind w:left="0" w:firstLine="709"/>
        <w:rPr>
          <w:rFonts w:ascii="Verdana" w:hAnsi="Verdana"/>
          <w:b/>
          <w:bCs/>
          <w:sz w:val="20"/>
          <w:szCs w:val="20"/>
        </w:rPr>
      </w:pPr>
      <w:r w:rsidRPr="00195E39">
        <w:rPr>
          <w:rFonts w:ascii="Verdana" w:hAnsi="Verdana"/>
          <w:sz w:val="20"/>
          <w:szCs w:val="20"/>
        </w:rPr>
        <w:t>Education, similar to marital status, moderately influences risk tolerance. In the financial context, education, as defined by</w:t>
      </w:r>
      <w:r w:rsidR="00B472A9">
        <w:rPr>
          <w:rFonts w:ascii="Verdana" w:hAnsi="Verdana"/>
          <w:sz w:val="20"/>
          <w:szCs w:val="20"/>
        </w:rPr>
        <w:t xml:space="preserve"> </w:t>
      </w:r>
      <w:hyperlink w:anchor="_ENREF_41" w:tooltip="Masters, 1989 #67"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AuthorYear="1"&gt;&lt;Author&gt;Masters&lt;/Author&gt;&lt;Year&gt;1989&lt;/Year&gt;&lt;RecNum&gt;67&lt;/RecNum&gt;&lt;DisplayText&gt;Masters and Lambert (1989)&lt;/DisplayText&gt;&lt;record&gt;&lt;rec-number&gt;67&lt;/rec-number&gt;&lt;foreign-keys&gt;&lt;key app="EN" db-id="v5ve2td2jxzxrxee0pdpwrv99fpre2frs20r" timestamp="1703965548"&gt;67&lt;/key&gt;&lt;/foreign-keys&gt;&lt;ref-type name="Journal Article"&gt;17&lt;/ref-type&gt;&lt;contributors&gt;&lt;authors&gt;&lt;author&gt;Masters, Kevin S&lt;/author&gt;&lt;author&gt;Lambert, Michael J&lt;/author&gt;&lt;/authors&gt;&lt;/contributors&gt;&lt;titles&gt;&lt;title&gt;The relations between cognitive coping strategies, reasons for running, injury, and performance of marathon runners&lt;/title&gt;&lt;secondary-title&gt;Journal of Sport and Exercise Psychology&lt;/secondary-title&gt;&lt;/titles&gt;&lt;periodical&gt;&lt;full-title&gt;Journal of Sport and Exercise Psychology&lt;/full-title&gt;&lt;/periodical&gt;&lt;pages&gt;161-170&lt;/pages&gt;&lt;volume&gt;11&lt;/volume&gt;&lt;number&gt;2&lt;/number&gt;&lt;dates&gt;&lt;year&gt;1989&lt;/year&gt;&lt;/dates&gt;&lt;isbn&gt;1543-2904&lt;/isbn&gt;&lt;urls&gt;&lt;/urls&gt;&lt;electronic-resource-num&gt;https://doi.org/10.1123/jsep.11.2.161&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Masters and Lambert (1989)</w:t>
        </w:r>
        <w:r w:rsidR="004372FE">
          <w:rPr>
            <w:rFonts w:ascii="Verdana" w:hAnsi="Verdana"/>
            <w:sz w:val="20"/>
            <w:szCs w:val="20"/>
          </w:rPr>
          <w:fldChar w:fldCharType="end"/>
        </w:r>
      </w:hyperlink>
      <w:r w:rsidR="00B472A9">
        <w:rPr>
          <w:rFonts w:ascii="Verdana" w:hAnsi="Verdana"/>
          <w:sz w:val="20"/>
          <w:szCs w:val="20"/>
        </w:rPr>
        <w:t xml:space="preserve">, </w:t>
      </w:r>
      <w:r w:rsidRPr="00195E39">
        <w:rPr>
          <w:rFonts w:ascii="Verdana" w:hAnsi="Verdana"/>
          <w:sz w:val="20"/>
          <w:szCs w:val="20"/>
        </w:rPr>
        <w:t xml:space="preserve">refers to the formal degree certificates attained by individuals. Generally, there is a belief in a positive and significant relationship between education and risk tolerance. Numerous studies have found that a higher level of education contributes to increased analytical abilities, leading individuals </w:t>
      </w:r>
      <w:r w:rsidRPr="00195E39">
        <w:rPr>
          <w:rFonts w:ascii="Verdana" w:hAnsi="Verdana"/>
          <w:sz w:val="20"/>
          <w:szCs w:val="20"/>
        </w:rPr>
        <w:lastRenderedPageBreak/>
        <w:t>to analyze risk and return more effectively, ultimately enhancing their level of risk tolerance</w:t>
      </w:r>
      <w:r w:rsidR="00D76C2A">
        <w:rPr>
          <w:rFonts w:ascii="Verdana" w:hAnsi="Verdana"/>
          <w:sz w:val="20"/>
          <w:szCs w:val="20"/>
        </w:rPr>
        <w:t xml:space="preserve"> </w:t>
      </w:r>
      <w:r w:rsidR="00D76C2A">
        <w:rPr>
          <w:rFonts w:ascii="Verdana" w:hAnsi="Verdana"/>
          <w:sz w:val="20"/>
          <w:szCs w:val="20"/>
        </w:rPr>
        <w:fldChar w:fldCharType="begin">
          <w:fldData xml:space="preserve">PEVuZE5vdGU+PENpdGU+PEF1dGhvcj5BcmRlaGFsaTwvQXV0aG9yPjxZZWFyPjIwMDU8L1llYXI+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</w:fldData>
        </w:fldChar>
      </w:r>
      <w:r w:rsidR="00B91112">
        <w:rPr>
          <w:rFonts w:ascii="Verdana" w:hAnsi="Verdana"/>
          <w:sz w:val="20"/>
          <w:szCs w:val="20"/>
        </w:rPr>
        <w:instrText xml:space="preserve"> ADDIN EN.CITE </w:instrText>
      </w:r>
      <w:r w:rsidR="00B91112">
        <w:rPr>
          <w:rFonts w:ascii="Verdana" w:hAnsi="Verdana"/>
          <w:sz w:val="20"/>
          <w:szCs w:val="20"/>
        </w:rPr>
        <w:fldChar w:fldCharType="begin">
          <w:fldData xml:space="preserve">PEVuZE5vdGU+PENpdGU+PEF1dGhvcj5BcmRlaGFsaTwvQXV0aG9yPjxZZWFyPjIwMDU8L1llYXI+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</w:fldData>
        </w:fldChar>
      </w:r>
      <w:r w:rsidR="00B91112">
        <w:rPr>
          <w:rFonts w:ascii="Verdana" w:hAnsi="Verdana"/>
          <w:sz w:val="20"/>
          <w:szCs w:val="20"/>
        </w:rPr>
        <w:instrText xml:space="preserve"> ADDIN EN.CITE.DATA </w:instrText>
      </w:r>
      <w:r w:rsidR="00B91112">
        <w:rPr>
          <w:rFonts w:ascii="Verdana" w:hAnsi="Verdana"/>
          <w:sz w:val="20"/>
          <w:szCs w:val="20"/>
        </w:rPr>
      </w:r>
      <w:r w:rsidR="00B91112">
        <w:rPr>
          <w:rFonts w:ascii="Verdana" w:hAnsi="Verdana"/>
          <w:sz w:val="20"/>
          <w:szCs w:val="20"/>
        </w:rPr>
        <w:fldChar w:fldCharType="end"/>
      </w:r>
      <w:r w:rsidR="00D76C2A">
        <w:rPr>
          <w:rFonts w:ascii="Verdana" w:hAnsi="Verdana"/>
          <w:sz w:val="20"/>
          <w:szCs w:val="20"/>
        </w:rPr>
      </w:r>
      <w:r w:rsidR="00D76C2A">
        <w:rPr>
          <w:rFonts w:ascii="Verdana" w:hAnsi="Verdana"/>
          <w:sz w:val="20"/>
          <w:szCs w:val="20"/>
        </w:rPr>
        <w:fldChar w:fldCharType="separate"/>
      </w:r>
      <w:r w:rsidR="00B91112">
        <w:rPr>
          <w:rFonts w:ascii="Verdana" w:hAnsi="Verdana"/>
          <w:noProof/>
          <w:sz w:val="20"/>
          <w:szCs w:val="20"/>
        </w:rPr>
        <w:t>(</w:t>
      </w:r>
      <w:hyperlink w:anchor="_ENREF_6" w:tooltip="Ardehali, 2005 #24" w:history="1">
        <w:r w:rsidR="004372FE">
          <w:rPr>
            <w:rFonts w:ascii="Verdana" w:hAnsi="Verdana"/>
            <w:noProof/>
            <w:sz w:val="20"/>
            <w:szCs w:val="20"/>
          </w:rPr>
          <w:t>Ardehali et al., 2005</w:t>
        </w:r>
      </w:hyperlink>
      <w:r w:rsidR="00B91112">
        <w:rPr>
          <w:rFonts w:ascii="Verdana" w:hAnsi="Verdana"/>
          <w:noProof/>
          <w:sz w:val="20"/>
          <w:szCs w:val="20"/>
        </w:rPr>
        <w:t xml:space="preserve">; </w:t>
      </w:r>
      <w:hyperlink w:anchor="_ENREF_25" w:tooltip="Hallahan, 2004 #17" w:history="1">
        <w:r w:rsidR="004372FE">
          <w:rPr>
            <w:rFonts w:ascii="Verdana" w:hAnsi="Verdana"/>
            <w:noProof/>
            <w:sz w:val="20"/>
            <w:szCs w:val="20"/>
          </w:rPr>
          <w:t>Hallahan et al., 2004</w:t>
        </w:r>
      </w:hyperlink>
      <w:r w:rsidR="00B91112">
        <w:rPr>
          <w:rFonts w:ascii="Verdana" w:hAnsi="Verdana"/>
          <w:noProof/>
          <w:sz w:val="20"/>
          <w:szCs w:val="20"/>
        </w:rPr>
        <w:t xml:space="preserve">; </w:t>
      </w:r>
      <w:hyperlink w:anchor="_ENREF_29" w:tooltip="Hawley, 1993 #26" w:history="1">
        <w:r w:rsidR="004372FE">
          <w:rPr>
            <w:rFonts w:ascii="Verdana" w:hAnsi="Verdana"/>
            <w:noProof/>
            <w:sz w:val="20"/>
            <w:szCs w:val="20"/>
          </w:rPr>
          <w:t>Hawley &amp; Fujii, 1993</w:t>
        </w:r>
      </w:hyperlink>
      <w:r w:rsidR="00B91112">
        <w:rPr>
          <w:rFonts w:ascii="Verdana" w:hAnsi="Verdana"/>
          <w:noProof/>
          <w:sz w:val="20"/>
          <w:szCs w:val="20"/>
        </w:rPr>
        <w:t>)</w:t>
      </w:r>
      <w:r w:rsidR="00D76C2A">
        <w:rPr>
          <w:rFonts w:ascii="Verdana" w:hAnsi="Verdana"/>
          <w:sz w:val="20"/>
          <w:szCs w:val="20"/>
        </w:rPr>
        <w:fldChar w:fldCharType="end"/>
      </w:r>
      <w:r w:rsidR="00B91112">
        <w:rPr>
          <w:rFonts w:ascii="Verdana" w:hAnsi="Verdana"/>
          <w:sz w:val="20"/>
          <w:szCs w:val="20"/>
        </w:rPr>
        <w:t>.</w:t>
      </w:r>
      <w:r w:rsidRPr="00195E39">
        <w:rPr>
          <w:rFonts w:ascii="Verdana" w:hAnsi="Verdana"/>
          <w:sz w:val="20"/>
          <w:szCs w:val="20"/>
        </w:rPr>
        <w:t xml:space="preserve"> </w:t>
      </w:r>
    </w:p>
    <w:p w14:paraId="3D47019F" w14:textId="743342FB" w:rsidR="00B91112" w:rsidRPr="00195E39" w:rsidRDefault="00B91112" w:rsidP="00B91112">
      <w:pPr>
        <w:ind w:left="0" w:firstLine="709"/>
        <w:rPr>
          <w:rFonts w:ascii="Verdana" w:hAnsi="Verdana"/>
          <w:sz w:val="20"/>
          <w:szCs w:val="20"/>
        </w:rPr>
      </w:pPr>
    </w:p>
    <w:p w14:paraId="147A6D9B" w14:textId="77777777" w:rsidR="007E1F8A" w:rsidRPr="00EA4C9F" w:rsidRDefault="007E1F8A" w:rsidP="00EA4C9F">
      <w:pPr>
        <w:pStyle w:val="ListParagraph"/>
        <w:numPr>
          <w:ilvl w:val="2"/>
          <w:numId w:val="39"/>
        </w:numPr>
        <w:ind w:left="709"/>
        <w:rPr>
          <w:rFonts w:ascii="Verdana" w:hAnsi="Verdana"/>
          <w:b/>
          <w:sz w:val="22"/>
          <w:szCs w:val="22"/>
        </w:rPr>
      </w:pPr>
      <w:r w:rsidRPr="00EA4C9F">
        <w:rPr>
          <w:rFonts w:ascii="Verdana" w:hAnsi="Verdana"/>
          <w:b/>
          <w:sz w:val="22"/>
          <w:szCs w:val="22"/>
        </w:rPr>
        <w:t>Employment Status</w:t>
      </w:r>
    </w:p>
    <w:p w14:paraId="682AD4C3" w14:textId="77777777" w:rsidR="00EA4C9F" w:rsidRDefault="00EA4C9F" w:rsidP="00EA4C9F">
      <w:pPr>
        <w:ind w:left="0" w:firstLine="709"/>
        <w:rPr>
          <w:rFonts w:ascii="Verdana" w:hAnsi="Verdana"/>
          <w:sz w:val="20"/>
          <w:szCs w:val="20"/>
        </w:rPr>
      </w:pPr>
    </w:p>
    <w:p w14:paraId="37CB9000" w14:textId="46C701EF" w:rsidR="007E1F8A" w:rsidRDefault="007E1F8A" w:rsidP="00A60A82">
      <w:pPr>
        <w:ind w:left="0" w:firstLine="709"/>
        <w:rPr>
          <w:rFonts w:ascii="Verdana" w:hAnsi="Verdana"/>
          <w:sz w:val="20"/>
          <w:szCs w:val="20"/>
        </w:rPr>
      </w:pPr>
      <w:r w:rsidRPr="00195E39">
        <w:rPr>
          <w:rFonts w:ascii="Verdana" w:hAnsi="Verdana"/>
          <w:sz w:val="20"/>
          <w:szCs w:val="20"/>
        </w:rPr>
        <w:t>Employment status is a recognized factor influencing risk tolerance, with a general belief that employed individuals tend to exhibit higher risk tolerance than those who are not employed. This can be attributed to their disposable income, providing them with the capacity for more risk-taking</w:t>
      </w:r>
      <w:r w:rsidR="004B0CA0">
        <w:rPr>
          <w:rFonts w:ascii="Verdana" w:hAnsi="Verdana"/>
          <w:sz w:val="20"/>
          <w:szCs w:val="20"/>
        </w:rPr>
        <w:t xml:space="preserve"> </w:t>
      </w:r>
      <w:r w:rsidR="004B0CA0">
        <w:rPr>
          <w:rFonts w:ascii="Verdana" w:hAnsi="Verdana"/>
          <w:sz w:val="20"/>
          <w:szCs w:val="20"/>
        </w:rPr>
        <w:fldChar w:fldCharType="begin"/>
      </w:r>
      <w:r w:rsidR="004B0CA0">
        <w:rPr>
          <w:rFonts w:ascii="Verdana" w:hAnsi="Verdana"/>
          <w:sz w:val="20"/>
          <w:szCs w:val="20"/>
        </w:rPr>
        <w:instrText xml:space="preserve"> ADDIN EN.CITE &lt;EndNote&gt;&lt;Cite&gt;&lt;Author&gt;Chattopadhyay&lt;/Author&gt;&lt;Year&gt;2015&lt;/Year&gt;&lt;RecNum&gt;27&lt;/RecNum&gt;&lt;DisplayText&gt;(Chattopadhyay &amp;amp; Dasgupta, 2015)&lt;/DisplayText&gt;&lt;record&gt;&lt;rec-number&gt;27&lt;/rec-number&gt;&lt;foreign-keys&gt;&lt;key app="EN" db-id="v5ve2td2jxzxrxee0pdpwrv99fpre2frs20r" timestamp="1703958585"&gt;27&lt;/key&gt;&lt;/foreign-keys&gt;&lt;ref-type name="Journal Article"&gt;17&lt;/ref-type&gt;&lt;contributors&gt;&lt;authors&gt;&lt;author&gt;Chattopadhyay, Sandip&lt;/author&gt;&lt;author&gt;Dasgupta, Ranjan&lt;/author&gt;&lt;/authors&gt;&lt;/contributors&gt;&lt;titles&gt;&lt;title&gt;Demographic and socioeconomic impact on risk attitudes of the Indian investors-an empirical study&lt;/title&gt;&lt;secondary-title&gt;Asian Economic and Financial Review&lt;/secondary-title&gt;&lt;/titles&gt;&lt;periodical&gt;&lt;full-title&gt;Asian Economic and Financial Review&lt;/full-title&gt;&lt;/periodical&gt;&lt;pages&gt;601&lt;/pages&gt;&lt;volume&gt;5&lt;/volume&gt;&lt;number&gt;4&lt;/number&gt;&lt;dates&gt;&lt;year&gt;2015&lt;/year&gt;&lt;/dates&gt;&lt;isbn&gt;2305-2147&lt;/isbn&gt;&lt;urls&gt;&lt;/urls&gt;&lt;/record&gt;&lt;/Cite&gt;&lt;/EndNote&gt;</w:instrText>
      </w:r>
      <w:r w:rsidR="004B0CA0">
        <w:rPr>
          <w:rFonts w:ascii="Verdana" w:hAnsi="Verdana"/>
          <w:sz w:val="20"/>
          <w:szCs w:val="20"/>
        </w:rPr>
        <w:fldChar w:fldCharType="separate"/>
      </w:r>
      <w:r w:rsidR="004B0CA0">
        <w:rPr>
          <w:rFonts w:ascii="Verdana" w:hAnsi="Verdana"/>
          <w:noProof/>
          <w:sz w:val="20"/>
          <w:szCs w:val="20"/>
        </w:rPr>
        <w:t>(</w:t>
      </w:r>
      <w:hyperlink w:anchor="_ENREF_14" w:tooltip="Chattopadhyay, 2015 #27" w:history="1">
        <w:r w:rsidR="004372FE">
          <w:rPr>
            <w:rFonts w:ascii="Verdana" w:hAnsi="Verdana"/>
            <w:noProof/>
            <w:sz w:val="20"/>
            <w:szCs w:val="20"/>
          </w:rPr>
          <w:t>Chattopadhyay &amp; Dasgupta, 2015</w:t>
        </w:r>
      </w:hyperlink>
      <w:r w:rsidR="004B0CA0">
        <w:rPr>
          <w:rFonts w:ascii="Verdana" w:hAnsi="Verdana"/>
          <w:noProof/>
          <w:sz w:val="20"/>
          <w:szCs w:val="20"/>
        </w:rPr>
        <w:t>)</w:t>
      </w:r>
      <w:r w:rsidR="004B0CA0">
        <w:rPr>
          <w:rFonts w:ascii="Verdana" w:hAnsi="Verdana"/>
          <w:sz w:val="20"/>
          <w:szCs w:val="20"/>
        </w:rPr>
        <w:fldChar w:fldCharType="end"/>
      </w:r>
      <w:r w:rsidR="004B0CA0">
        <w:rPr>
          <w:rFonts w:ascii="Verdana" w:hAnsi="Verdana"/>
          <w:sz w:val="20"/>
          <w:szCs w:val="20"/>
        </w:rPr>
        <w:t>.</w:t>
      </w:r>
      <w:r w:rsidR="004B0CA0">
        <w:rPr>
          <w:rFonts w:ascii="Verdana" w:hAnsi="Verdana" w:cs="Arial"/>
          <w:sz w:val="20"/>
          <w:szCs w:val="20"/>
        </w:rPr>
        <w:t xml:space="preserve"> </w:t>
      </w:r>
      <w:r w:rsidRPr="00195E39">
        <w:rPr>
          <w:rFonts w:ascii="Verdana" w:hAnsi="Verdana"/>
          <w:sz w:val="20"/>
          <w:szCs w:val="20"/>
        </w:rPr>
        <w:t>Employed individuals often benefit from a stable income source, positively impacting their financial risk tolerance.  Conversely, retired individuals may experience a shift in their risk tolerance during the transition from an income-earning phase to a wealth preservation phase. In retirement, there might be a tendency to become more risk-averse in real estate investments to ensure financial security</w:t>
      </w:r>
      <w:r w:rsidR="00E5605D">
        <w:rPr>
          <w:rFonts w:ascii="Verdana" w:hAnsi="Verdana"/>
          <w:sz w:val="20"/>
          <w:szCs w:val="20"/>
        </w:rPr>
        <w:t xml:space="preserve"> </w:t>
      </w:r>
      <w:r w:rsidR="00E5605D">
        <w:rPr>
          <w:rFonts w:ascii="Verdana" w:hAnsi="Verdana"/>
          <w:sz w:val="20"/>
          <w:szCs w:val="20"/>
        </w:rPr>
        <w:fldChar w:fldCharType="begin"/>
      </w:r>
      <w:r w:rsidR="00E5605D">
        <w:rPr>
          <w:rFonts w:ascii="Verdana" w:hAnsi="Verdana"/>
          <w:sz w:val="20"/>
          <w:szCs w:val="20"/>
        </w:rPr>
        <w:instrText xml:space="preserve"> ADDIN EN.CITE &lt;EndNote&gt;&lt;Cite&gt;&lt;Author&gt;Ameriks&lt;/Author&gt;&lt;Year&gt;2003&lt;/Year&gt;&lt;RecNum&gt;28&lt;/RecNum&gt;&lt;DisplayText&gt;(Ameriks, Caplin, &amp;amp; Leahy, 2003)&lt;/DisplayText&gt;&lt;record&gt;&lt;rec-number&gt;28&lt;/rec-number&gt;&lt;foreign-keys&gt;&lt;key app="EN" db-id="v5ve2td2jxzxrxee0pdpwrv99fpre2frs20r" timestamp="1703958665"&gt;28&lt;/key&gt;&lt;/foreign-keys&gt;&lt;ref-type name="Journal Article"&gt;17&lt;/ref-type&gt;&lt;contributors&gt;&lt;authors&gt;&lt;author&gt;Ameriks, John&lt;/author&gt;&lt;author&gt;Caplin, Andrew&lt;/author&gt;&lt;author&gt;Leahy, John&lt;/author&gt;&lt;/authors&gt;&lt;/contributors&gt;&lt;titles&gt;&lt;title&gt;Wealth accumulation and the propensity to plan&lt;/title&gt;&lt;secondary-title&gt;The Quarterly Journal of Economics&lt;/secondary-title&gt;&lt;/titles&gt;&lt;periodical&gt;&lt;full-title&gt;The quarterly journal of economics&lt;/full-title&gt;&lt;/periodical&gt;&lt;pages&gt;1007-1047&lt;/pages&gt;&lt;volume&gt;118&lt;/volume&gt;&lt;number&gt;3&lt;/number&gt;&lt;dates&gt;&lt;year&gt;2003&lt;/year&gt;&lt;/dates&gt;&lt;isbn&gt;1531-4650&lt;/isbn&gt;&lt;urls&gt;&lt;/urls&gt;&lt;electronic-resource-num&gt;https://doi.org/10.1162/00335530360698487&lt;/electronic-resource-num&gt;&lt;/record&gt;&lt;/Cite&gt;&lt;/EndNote&gt;</w:instrText>
      </w:r>
      <w:r w:rsidR="00E5605D">
        <w:rPr>
          <w:rFonts w:ascii="Verdana" w:hAnsi="Verdana"/>
          <w:sz w:val="20"/>
          <w:szCs w:val="20"/>
        </w:rPr>
        <w:fldChar w:fldCharType="separate"/>
      </w:r>
      <w:r w:rsidR="00E5605D">
        <w:rPr>
          <w:rFonts w:ascii="Verdana" w:hAnsi="Verdana"/>
          <w:noProof/>
          <w:sz w:val="20"/>
          <w:szCs w:val="20"/>
        </w:rPr>
        <w:t>(</w:t>
      </w:r>
      <w:hyperlink w:anchor="_ENREF_5" w:tooltip="Ameriks, 2003 #28" w:history="1">
        <w:r w:rsidR="004372FE">
          <w:rPr>
            <w:rFonts w:ascii="Verdana" w:hAnsi="Verdana"/>
            <w:noProof/>
            <w:sz w:val="20"/>
            <w:szCs w:val="20"/>
          </w:rPr>
          <w:t>Ameriks, Caplin, &amp; Leahy, 2003</w:t>
        </w:r>
      </w:hyperlink>
      <w:r w:rsidR="00E5605D">
        <w:rPr>
          <w:rFonts w:ascii="Verdana" w:hAnsi="Verdana"/>
          <w:noProof/>
          <w:sz w:val="20"/>
          <w:szCs w:val="20"/>
        </w:rPr>
        <w:t>)</w:t>
      </w:r>
      <w:r w:rsidR="00E5605D">
        <w:rPr>
          <w:rFonts w:ascii="Verdana" w:hAnsi="Verdana"/>
          <w:sz w:val="20"/>
          <w:szCs w:val="20"/>
        </w:rPr>
        <w:fldChar w:fldCharType="end"/>
      </w:r>
      <w:r w:rsidR="00E5605D">
        <w:rPr>
          <w:rFonts w:ascii="Verdana" w:hAnsi="Verdana"/>
          <w:sz w:val="20"/>
          <w:szCs w:val="20"/>
        </w:rPr>
        <w:t>.</w:t>
      </w:r>
      <w:r w:rsidRPr="00195E39">
        <w:rPr>
          <w:rFonts w:ascii="Verdana" w:hAnsi="Verdana"/>
          <w:sz w:val="20"/>
          <w:szCs w:val="20"/>
        </w:rPr>
        <w:t xml:space="preserve"> </w:t>
      </w:r>
    </w:p>
    <w:p w14:paraId="4D8A7F79" w14:textId="77777777" w:rsidR="00EA4C9F" w:rsidRPr="00195E39" w:rsidRDefault="00EA4C9F" w:rsidP="00EA4C9F">
      <w:pPr>
        <w:ind w:left="0" w:firstLine="709"/>
        <w:rPr>
          <w:rFonts w:ascii="Verdana" w:hAnsi="Verdana"/>
          <w:sz w:val="20"/>
          <w:szCs w:val="20"/>
        </w:rPr>
      </w:pPr>
    </w:p>
    <w:p w14:paraId="17602EC9" w14:textId="2E9269EB" w:rsidR="007E1F8A" w:rsidRPr="00195E39" w:rsidRDefault="007E1F8A" w:rsidP="00EA4C9F">
      <w:pPr>
        <w:pStyle w:val="ListParagraph"/>
        <w:numPr>
          <w:ilvl w:val="2"/>
          <w:numId w:val="39"/>
        </w:numPr>
        <w:ind w:left="709"/>
        <w:rPr>
          <w:rFonts w:ascii="Verdana" w:hAnsi="Verdana"/>
          <w:b/>
          <w:sz w:val="20"/>
          <w:szCs w:val="20"/>
        </w:rPr>
      </w:pPr>
      <w:r w:rsidRPr="00EA4C9F">
        <w:rPr>
          <w:rFonts w:ascii="Verdana" w:hAnsi="Verdana"/>
          <w:b/>
          <w:sz w:val="22"/>
          <w:szCs w:val="22"/>
        </w:rPr>
        <w:t xml:space="preserve">Income and </w:t>
      </w:r>
      <w:r w:rsidR="00EA4C9F">
        <w:rPr>
          <w:rFonts w:ascii="Verdana" w:hAnsi="Verdana"/>
          <w:b/>
          <w:sz w:val="22"/>
          <w:szCs w:val="22"/>
        </w:rPr>
        <w:t>F</w:t>
      </w:r>
      <w:r w:rsidRPr="00EA4C9F">
        <w:rPr>
          <w:rFonts w:ascii="Verdana" w:hAnsi="Verdana"/>
          <w:b/>
          <w:sz w:val="22"/>
          <w:szCs w:val="22"/>
        </w:rPr>
        <w:t xml:space="preserve">inancial </w:t>
      </w:r>
      <w:r w:rsidR="00EA4C9F">
        <w:rPr>
          <w:rFonts w:ascii="Verdana" w:hAnsi="Verdana"/>
          <w:b/>
          <w:sz w:val="22"/>
          <w:szCs w:val="22"/>
        </w:rPr>
        <w:t>R</w:t>
      </w:r>
      <w:r w:rsidRPr="00EA4C9F">
        <w:rPr>
          <w:rFonts w:ascii="Verdana" w:hAnsi="Verdana"/>
          <w:b/>
          <w:sz w:val="22"/>
          <w:szCs w:val="22"/>
        </w:rPr>
        <w:t xml:space="preserve">isk </w:t>
      </w:r>
      <w:r w:rsidR="00EA4C9F">
        <w:rPr>
          <w:rFonts w:ascii="Verdana" w:hAnsi="Verdana"/>
          <w:b/>
          <w:sz w:val="22"/>
          <w:szCs w:val="22"/>
        </w:rPr>
        <w:t>T</w:t>
      </w:r>
      <w:r w:rsidRPr="00EA4C9F">
        <w:rPr>
          <w:rFonts w:ascii="Verdana" w:hAnsi="Verdana"/>
          <w:b/>
          <w:sz w:val="22"/>
          <w:szCs w:val="22"/>
        </w:rPr>
        <w:t>olerance</w:t>
      </w:r>
    </w:p>
    <w:p w14:paraId="196E76A0" w14:textId="77777777" w:rsidR="00EA4C9F" w:rsidRDefault="00EA4C9F" w:rsidP="00EA4C9F">
      <w:pPr>
        <w:ind w:left="0" w:firstLine="709"/>
        <w:rPr>
          <w:rFonts w:ascii="Verdana" w:hAnsi="Verdana"/>
          <w:sz w:val="20"/>
          <w:szCs w:val="20"/>
        </w:rPr>
      </w:pPr>
    </w:p>
    <w:p w14:paraId="5FEFA63D" w14:textId="6C807D91" w:rsidR="007E1F8A" w:rsidRDefault="007E1F8A" w:rsidP="00A60A82">
      <w:pPr>
        <w:ind w:left="0" w:firstLine="709"/>
        <w:rPr>
          <w:rFonts w:ascii="Verdana" w:hAnsi="Verdana"/>
          <w:sz w:val="20"/>
          <w:szCs w:val="20"/>
        </w:rPr>
      </w:pPr>
      <w:r w:rsidRPr="00195E39">
        <w:rPr>
          <w:rFonts w:ascii="Verdana" w:hAnsi="Verdana"/>
          <w:sz w:val="20"/>
          <w:szCs w:val="20"/>
        </w:rPr>
        <w:t>Individuals with higher income levels are generally more risk-tolerant, as they have the financial capacity to allocate a portion of their income to pursue real estate investments for potential wealth maximization</w:t>
      </w:r>
      <w:r w:rsidR="00ED248A">
        <w:rPr>
          <w:rFonts w:ascii="Verdana" w:hAnsi="Verdana"/>
          <w:sz w:val="20"/>
          <w:szCs w:val="20"/>
        </w:rPr>
        <w:t xml:space="preserve"> </w:t>
      </w:r>
      <w:r w:rsidR="00ED248A">
        <w:rPr>
          <w:rFonts w:ascii="Verdana" w:hAnsi="Verdana"/>
          <w:sz w:val="20"/>
          <w:szCs w:val="20"/>
        </w:rPr>
        <w:fldChar w:fldCharType="begin"/>
      </w:r>
      <w:r w:rsidR="00ED248A">
        <w:rPr>
          <w:rFonts w:ascii="Verdana" w:hAnsi="Verdana"/>
          <w:sz w:val="20"/>
          <w:szCs w:val="20"/>
        </w:rPr>
        <w:instrText xml:space="preserve"> ADDIN EN.CITE &lt;EndNote&gt;&lt;Cite&gt;&lt;Author&gt;Kannadhasan&lt;/Author&gt;&lt;Year&gt;2006&lt;/Year&gt;&lt;RecNum&gt;29&lt;/RecNum&gt;&lt;DisplayText&gt;(Kannadhasan, 2006)&lt;/DisplayText&gt;&lt;record&gt;&lt;rec-number&gt;29&lt;/rec-number&gt;&lt;foreign-keys&gt;&lt;key app="EN" db-id="v5ve2td2jxzxrxee0pdpwrv99fpre2frs20r" timestamp="1703958754"&gt;29&lt;/key&gt;&lt;/foreign-keys&gt;&lt;ref-type name="Journal Article"&gt;17&lt;/ref-type&gt;&lt;contributors&gt;&lt;authors&gt;&lt;author&gt;Kannadhasan, Manoharan&lt;/author&gt;&lt;/authors&gt;&lt;/contributors&gt;&lt;titles&gt;&lt;title&gt;Risk Appetite and Attitudes of Retail Investors’ with Special Reference to Capital Market&lt;/title&gt;&lt;secondary-title&gt;management accountant&lt;/secondary-title&gt;&lt;/titles&gt;&lt;periodical&gt;&lt;full-title&gt;management accountant&lt;/full-title&gt;&lt;/periodical&gt;&lt;pages&gt;448-454&lt;/pages&gt;&lt;volume&gt;41&lt;/volume&gt;&lt;number&gt;6&lt;/number&gt;&lt;dates&gt;&lt;year&gt;2006&lt;/year&gt;&lt;/dates&gt;&lt;urls&gt;&lt;related-urls&gt;&lt;url&gt;https://ssrn.com/abstract=1820862&lt;/url&gt;&lt;/related-urls&gt;&lt;/urls&gt;&lt;/record&gt;&lt;/Cite&gt;&lt;/EndNote&gt;</w:instrText>
      </w:r>
      <w:r w:rsidR="00ED248A">
        <w:rPr>
          <w:rFonts w:ascii="Verdana" w:hAnsi="Verdana"/>
          <w:sz w:val="20"/>
          <w:szCs w:val="20"/>
        </w:rPr>
        <w:fldChar w:fldCharType="separate"/>
      </w:r>
      <w:r w:rsidR="00ED248A">
        <w:rPr>
          <w:rFonts w:ascii="Verdana" w:hAnsi="Verdana"/>
          <w:noProof/>
          <w:sz w:val="20"/>
          <w:szCs w:val="20"/>
        </w:rPr>
        <w:t>(</w:t>
      </w:r>
      <w:hyperlink w:anchor="_ENREF_37" w:tooltip="Kannadhasan, 2006 #29" w:history="1">
        <w:r w:rsidR="004372FE">
          <w:rPr>
            <w:rFonts w:ascii="Verdana" w:hAnsi="Verdana"/>
            <w:noProof/>
            <w:sz w:val="20"/>
            <w:szCs w:val="20"/>
          </w:rPr>
          <w:t>Kannadhasan, 2006</w:t>
        </w:r>
      </w:hyperlink>
      <w:r w:rsidR="00ED248A">
        <w:rPr>
          <w:rFonts w:ascii="Verdana" w:hAnsi="Verdana"/>
          <w:noProof/>
          <w:sz w:val="20"/>
          <w:szCs w:val="20"/>
        </w:rPr>
        <w:t>)</w:t>
      </w:r>
      <w:r w:rsidR="00ED248A">
        <w:rPr>
          <w:rFonts w:ascii="Verdana" w:hAnsi="Verdana"/>
          <w:sz w:val="20"/>
          <w:szCs w:val="20"/>
        </w:rPr>
        <w:fldChar w:fldCharType="end"/>
      </w:r>
      <w:r w:rsidR="00ED248A">
        <w:rPr>
          <w:rFonts w:ascii="Verdana" w:hAnsi="Verdana"/>
          <w:sz w:val="20"/>
          <w:szCs w:val="20"/>
        </w:rPr>
        <w:t xml:space="preserve">. </w:t>
      </w:r>
      <w:hyperlink w:anchor="_ENREF_64" w:tooltip="Sulaiman, 2012 #30"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AuthorYear="1"&gt;&lt;Author&gt;Sulaiman&lt;/Author&gt;&lt;Year&gt;2012&lt;/Year&gt;&lt;RecNum&gt;30&lt;/RecNum&gt;&lt;DisplayText&gt;Sulaiman (2012)&lt;/DisplayText&gt;&lt;record&gt;&lt;rec-number&gt;30&lt;/rec-number&gt;&lt;foreign-keys&gt;&lt;key app="EN" db-id="v5ve2td2jxzxrxee0pdpwrv99fpre2frs20r" timestamp="1703958816"&gt;30&lt;/key&gt;&lt;/foreign-keys&gt;&lt;ref-type name="Journal Article"&gt;17&lt;/ref-type&gt;&lt;contributors&gt;&lt;authors&gt;&lt;author&gt;Sulaiman, Ebrahim Kunju&lt;/author&gt;&lt;/authors&gt;&lt;/contributors&gt;&lt;titles&gt;&lt;title&gt;An empirical analysis of financial risk tolerance and demographic features of individual investors&lt;/title&gt;&lt;secondary-title&gt;Procedia Economics and Finance&lt;/secondary-title&gt;&lt;/titles&gt;&lt;periodical&gt;&lt;full-title&gt;Procedia Economics and Finance&lt;/full-title&gt;&lt;/periodical&gt;&lt;pages&gt;109-115&lt;/pages&gt;&lt;volume&gt;2&lt;/volume&gt;&lt;dates&gt;&lt;year&gt;2012&lt;/year&gt;&lt;/dates&gt;&lt;isbn&gt;2212-5671&lt;/isbn&gt;&lt;urls&gt;&lt;/urls&gt;&lt;electronic-resource-num&gt;https://doi.org/10.1016/S2212-5671(12)00070-6&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Sulaiman (2012)</w:t>
        </w:r>
        <w:r w:rsidR="004372FE">
          <w:rPr>
            <w:rFonts w:ascii="Verdana" w:hAnsi="Verdana"/>
            <w:sz w:val="20"/>
            <w:szCs w:val="20"/>
          </w:rPr>
          <w:fldChar w:fldCharType="end"/>
        </w:r>
      </w:hyperlink>
      <w:r w:rsidR="00ED248A">
        <w:rPr>
          <w:rFonts w:ascii="Verdana" w:hAnsi="Verdana"/>
          <w:sz w:val="20"/>
          <w:szCs w:val="20"/>
        </w:rPr>
        <w:t>,</w:t>
      </w:r>
      <w:r w:rsidR="00EC3BDA">
        <w:rPr>
          <w:rFonts w:ascii="Verdana" w:hAnsi="Verdana"/>
          <w:sz w:val="20"/>
          <w:szCs w:val="20"/>
        </w:rPr>
        <w:t xml:space="preserve"> </w:t>
      </w:r>
      <w:r w:rsidRPr="00195E39">
        <w:rPr>
          <w:rFonts w:ascii="Verdana" w:hAnsi="Verdana"/>
          <w:sz w:val="20"/>
          <w:szCs w:val="20"/>
        </w:rPr>
        <w:t>suggests that higher-income investors have access to spontaneous resources for their obligations, allowing them to take on higher risks due to disposable income. Wealth and income are considered influential components with a significant positive impact on risk tolerance. Individuals with lower income levels are generally regarded as having lower risk tolerance, while the opposite holds true for those with higher income levels</w:t>
      </w:r>
      <w:r w:rsidR="00ED248A">
        <w:rPr>
          <w:rFonts w:ascii="Verdana" w:hAnsi="Verdana"/>
          <w:sz w:val="20"/>
          <w:szCs w:val="20"/>
        </w:rPr>
        <w:t xml:space="preserve"> </w:t>
      </w:r>
      <w:r w:rsidR="00ED248A">
        <w:rPr>
          <w:rFonts w:ascii="Verdana" w:hAnsi="Verdana"/>
          <w:sz w:val="20"/>
          <w:szCs w:val="20"/>
        </w:rPr>
        <w:fldChar w:fldCharType="begin"/>
      </w:r>
      <w:r w:rsidR="004372FE">
        <w:rPr>
          <w:rFonts w:ascii="Verdana" w:hAnsi="Verdana"/>
          <w:sz w:val="20"/>
          <w:szCs w:val="20"/>
        </w:rPr>
        <w:instrText xml:space="preserve"> ADDIN EN.CITE &lt;EndNote&gt;&lt;Cite&gt;&lt;Author&gt;Grable&lt;/Author&gt;&lt;Year&gt;1997&lt;/Year&gt;&lt;RecNum&gt;5&lt;/RecNum&gt;&lt;DisplayText&gt;(Grable, 1997)&lt;/DisplayText&gt;&lt;record&gt;&lt;rec-number&gt;5&lt;/rec-number&gt;&lt;foreign-keys&gt;&lt;key app="EN" db-id="v5ve2td2jxzxrxee0pdpwrv99fpre2frs20r" timestamp="1703941297"&gt;5&lt;/key&gt;&lt;/foreign-keys&gt;&lt;ref-type name="Thesis"&gt;32&lt;/ref-type&gt;&lt;contributors&gt;&lt;authors&gt;&lt;author&gt;Grable, John E&lt;/author&gt;&lt;/authors&gt;&lt;/contributors&gt;&lt;titles&gt;&lt;title&gt;Investor risk tolerance: Testing the efficacy of demographics as differentiating and classifying factors&lt;/title&gt;&lt;/titles&gt;&lt;dates&gt;&lt;year&gt;1997&lt;/year&gt;&lt;/dates&gt;&lt;publisher&gt;Virginia Tech&lt;/publisher&gt;&lt;urls&gt;&lt;related-urls&gt;&lt;url&gt;http://hdl.handle.net/10919/30762&lt;/url&gt;&lt;/related-urls&gt;&lt;/urls&gt;&lt;/record&gt;&lt;/Cite&gt;&lt;/EndNote&gt;</w:instrText>
      </w:r>
      <w:r w:rsidR="00ED248A">
        <w:rPr>
          <w:rFonts w:ascii="Verdana" w:hAnsi="Verdana"/>
          <w:sz w:val="20"/>
          <w:szCs w:val="20"/>
        </w:rPr>
        <w:fldChar w:fldCharType="separate"/>
      </w:r>
      <w:r w:rsidR="004372FE">
        <w:rPr>
          <w:rFonts w:ascii="Verdana" w:hAnsi="Verdana"/>
          <w:noProof/>
          <w:sz w:val="20"/>
          <w:szCs w:val="20"/>
        </w:rPr>
        <w:t>(</w:t>
      </w:r>
      <w:hyperlink w:anchor="_ENREF_21" w:tooltip="Grable, 1997 #5" w:history="1">
        <w:r w:rsidR="004372FE">
          <w:rPr>
            <w:rFonts w:ascii="Verdana" w:hAnsi="Verdana"/>
            <w:noProof/>
            <w:sz w:val="20"/>
            <w:szCs w:val="20"/>
          </w:rPr>
          <w:t>Grable, 1997</w:t>
        </w:r>
      </w:hyperlink>
      <w:r w:rsidR="004372FE">
        <w:rPr>
          <w:rFonts w:ascii="Verdana" w:hAnsi="Verdana"/>
          <w:noProof/>
          <w:sz w:val="20"/>
          <w:szCs w:val="20"/>
        </w:rPr>
        <w:t>)</w:t>
      </w:r>
      <w:r w:rsidR="00ED248A">
        <w:rPr>
          <w:rFonts w:ascii="Verdana" w:hAnsi="Verdana"/>
          <w:sz w:val="20"/>
          <w:szCs w:val="20"/>
        </w:rPr>
        <w:fldChar w:fldCharType="end"/>
      </w:r>
      <w:r w:rsidR="00B71C9D">
        <w:rPr>
          <w:rFonts w:ascii="Verdana" w:hAnsi="Verdana"/>
          <w:sz w:val="20"/>
          <w:szCs w:val="20"/>
        </w:rPr>
        <w:t>.</w:t>
      </w:r>
      <w:r w:rsidRPr="00195E39">
        <w:rPr>
          <w:rFonts w:ascii="Verdana" w:hAnsi="Verdana"/>
          <w:sz w:val="20"/>
          <w:szCs w:val="20"/>
        </w:rPr>
        <w:t xml:space="preserve"> </w:t>
      </w:r>
    </w:p>
    <w:p w14:paraId="79BDD070" w14:textId="77777777" w:rsidR="00EA4C9F" w:rsidRPr="00195E39" w:rsidRDefault="00EA4C9F" w:rsidP="00EA4C9F">
      <w:pPr>
        <w:ind w:left="0" w:firstLine="709"/>
        <w:rPr>
          <w:rFonts w:ascii="Verdana" w:hAnsi="Verdana"/>
          <w:sz w:val="20"/>
          <w:szCs w:val="20"/>
        </w:rPr>
      </w:pPr>
    </w:p>
    <w:p w14:paraId="07C96E78" w14:textId="2E0E6C27" w:rsidR="007E1F8A" w:rsidRPr="00195E39" w:rsidRDefault="007E1F8A" w:rsidP="00EA4C9F">
      <w:pPr>
        <w:pStyle w:val="ListParagraph"/>
        <w:numPr>
          <w:ilvl w:val="1"/>
          <w:numId w:val="39"/>
        </w:numPr>
        <w:ind w:hanging="720"/>
        <w:jc w:val="left"/>
        <w:rPr>
          <w:rFonts w:ascii="Verdana" w:hAnsi="Verdana"/>
          <w:b/>
          <w:sz w:val="20"/>
          <w:szCs w:val="20"/>
        </w:rPr>
      </w:pPr>
      <w:r w:rsidRPr="00EA4C9F">
        <w:rPr>
          <w:rFonts w:ascii="Verdana" w:hAnsi="Verdana"/>
          <w:b/>
          <w:sz w:val="22"/>
          <w:szCs w:val="22"/>
        </w:rPr>
        <w:t>Personality Traits and Risk Tolerance</w:t>
      </w:r>
    </w:p>
    <w:p w14:paraId="5D7F1FC7" w14:textId="77777777" w:rsidR="00EA4C9F" w:rsidRDefault="00EA4C9F" w:rsidP="00EA4C9F">
      <w:pPr>
        <w:ind w:left="0" w:firstLine="720"/>
        <w:rPr>
          <w:rFonts w:ascii="Verdana" w:hAnsi="Verdana"/>
          <w:sz w:val="20"/>
          <w:szCs w:val="20"/>
        </w:rPr>
      </w:pPr>
    </w:p>
    <w:p w14:paraId="2E3EB9FC" w14:textId="405FA2D9" w:rsidR="00EA4C9F" w:rsidRDefault="00EC3BDA" w:rsidP="00A60A82">
      <w:pPr>
        <w:ind w:left="0" w:firstLine="0"/>
        <w:rPr>
          <w:rFonts w:ascii="Verdana" w:hAnsi="Verdana"/>
          <w:sz w:val="20"/>
          <w:szCs w:val="20"/>
        </w:rPr>
      </w:pPr>
      <w:r>
        <w:rPr>
          <w:rFonts w:ascii="Verdana" w:hAnsi="Verdana"/>
          <w:sz w:val="20"/>
          <w:szCs w:val="20"/>
        </w:rPr>
        <w:t xml:space="preserve">            </w:t>
      </w:r>
      <w:hyperlink w:anchor="_ENREF_55" w:tooltip="Raheja, 2017 #31"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AuthorYear="1"&gt;&lt;Author&gt;Raheja&lt;/Author&gt;&lt;Year&gt;2017&lt;/Year&gt;&lt;RecNum&gt;31&lt;/RecNum&gt;&lt;DisplayText&gt;Raheja and Dhiman (2017)&lt;/DisplayText&gt;&lt;record&gt;&lt;rec-number&gt;31&lt;/rec-number&gt;&lt;foreign-keys&gt;&lt;key app="EN" db-id="v5ve2td2jxzxrxee0pdpwrv99fpre2frs20r" timestamp="1703959021"&gt;31&lt;/key&gt;&lt;/foreign-keys&gt;&lt;ref-type name="Journal Article"&gt;17&lt;/ref-type&gt;&lt;contributors&gt;&lt;authors&gt;&lt;author&gt;Raheja, Saloni&lt;/author&gt;&lt;author&gt;Dhiman, Babli&lt;/author&gt;&lt;/authors&gt;&lt;/contributors&gt;&lt;titles&gt;&lt;title&gt;Does Investor Personality Determine their Risk Tolerance&lt;/title&gt;&lt;secondary-title&gt;International Journal of Engineering Technology, Management and Applied Sciences&lt;/secondary-title&gt;&lt;/titles&gt;&lt;periodical&gt;&lt;full-title&gt;International Journal of Engineering Technology, Management and Applied Sciences&lt;/full-title&gt;&lt;/periodical&gt;&lt;pages&gt;439-448&lt;/pages&gt;&lt;volume&gt;5&lt;/volume&gt;&lt;number&gt;7&lt;/number&gt;&lt;dates&gt;&lt;year&gt;2017&lt;/year&gt;&lt;/dates&gt;&lt;urls&gt;&lt;/urls&gt;&lt;/record&gt;&lt;/Cite&gt;&lt;/EndNote&gt;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Raheja and Dhiman (2017)</w:t>
        </w:r>
        <w:r w:rsidR="004372FE">
          <w:rPr>
            <w:rFonts w:ascii="Verdana" w:hAnsi="Verdana"/>
            <w:sz w:val="20"/>
            <w:szCs w:val="20"/>
          </w:rPr>
          <w:fldChar w:fldCharType="end"/>
        </w:r>
      </w:hyperlink>
      <w:r>
        <w:rPr>
          <w:rFonts w:ascii="Verdana" w:hAnsi="Verdana"/>
          <w:sz w:val="20"/>
          <w:szCs w:val="20"/>
        </w:rPr>
        <w:t xml:space="preserve"> </w:t>
      </w:r>
      <w:r w:rsidR="007E1F8A" w:rsidRPr="00195E39">
        <w:rPr>
          <w:rFonts w:ascii="Verdana" w:hAnsi="Verdana"/>
          <w:sz w:val="20"/>
          <w:szCs w:val="20"/>
        </w:rPr>
        <w:t>explain that the term "personality" originates from the Latin word "Persona," symbolizing the way one speaks, thinks, and fundamentally influences human behavior. In essence, personality encapsulates the distinctive characteristics that differentiate individuals in their actions and expressions.</w:t>
      </w:r>
    </w:p>
    <w:p w14:paraId="20EF3C30" w14:textId="77777777" w:rsidR="00EA4C9F" w:rsidRDefault="00EA4C9F" w:rsidP="00EA4C9F">
      <w:pPr>
        <w:ind w:left="0" w:firstLine="720"/>
        <w:rPr>
          <w:rFonts w:ascii="Verdana" w:hAnsi="Verdana"/>
          <w:sz w:val="20"/>
          <w:szCs w:val="20"/>
        </w:rPr>
      </w:pPr>
    </w:p>
    <w:p w14:paraId="6A837E94" w14:textId="3771B9BC" w:rsidR="007E1F8A" w:rsidRDefault="007E1F8A" w:rsidP="00EA4C9F">
      <w:pPr>
        <w:ind w:left="0" w:firstLine="720"/>
        <w:rPr>
          <w:rFonts w:ascii="Verdana" w:hAnsi="Verdana"/>
          <w:sz w:val="20"/>
          <w:szCs w:val="20"/>
        </w:rPr>
      </w:pPr>
      <w:r w:rsidRPr="00195E39">
        <w:rPr>
          <w:rFonts w:ascii="Verdana" w:hAnsi="Verdana"/>
          <w:sz w:val="20"/>
          <w:szCs w:val="20"/>
        </w:rPr>
        <w:t>This section of the literature focuses on the Big Five traits of personality in relation to financial risk tolerance.</w:t>
      </w:r>
    </w:p>
    <w:p w14:paraId="26499CD3" w14:textId="77777777" w:rsidR="00EA4C9F" w:rsidRPr="00195E39" w:rsidRDefault="00EA4C9F" w:rsidP="00EA4C9F">
      <w:pPr>
        <w:ind w:left="0" w:firstLine="720"/>
        <w:rPr>
          <w:rFonts w:ascii="Verdana" w:hAnsi="Verdana"/>
          <w:sz w:val="20"/>
          <w:szCs w:val="20"/>
        </w:rPr>
      </w:pPr>
    </w:p>
    <w:p w14:paraId="519BD4DF" w14:textId="77777777" w:rsidR="007E1F8A" w:rsidRPr="00EA4C9F" w:rsidRDefault="007E1F8A" w:rsidP="00EA4C9F">
      <w:pPr>
        <w:pStyle w:val="ListParagraph"/>
        <w:numPr>
          <w:ilvl w:val="2"/>
          <w:numId w:val="39"/>
        </w:numPr>
        <w:ind w:left="709"/>
        <w:jc w:val="left"/>
        <w:rPr>
          <w:rFonts w:ascii="Verdana" w:hAnsi="Verdana"/>
          <w:b/>
          <w:sz w:val="22"/>
          <w:szCs w:val="22"/>
        </w:rPr>
      </w:pPr>
      <w:r w:rsidRPr="00EA4C9F">
        <w:rPr>
          <w:rFonts w:ascii="Verdana" w:hAnsi="Verdana"/>
          <w:b/>
          <w:sz w:val="22"/>
          <w:szCs w:val="22"/>
        </w:rPr>
        <w:t>Agreeableness and Financial Risk Tolerance</w:t>
      </w:r>
    </w:p>
    <w:p w14:paraId="5C8697EE" w14:textId="77777777" w:rsidR="00EA4C9F" w:rsidRDefault="00EA4C9F" w:rsidP="00EA4C9F">
      <w:pPr>
        <w:ind w:left="0" w:firstLine="709"/>
        <w:rPr>
          <w:rFonts w:ascii="Verdana" w:hAnsi="Verdana"/>
          <w:sz w:val="20"/>
          <w:szCs w:val="20"/>
        </w:rPr>
      </w:pPr>
    </w:p>
    <w:p w14:paraId="6242586F" w14:textId="1416A302" w:rsidR="007E1F8A" w:rsidRDefault="007E1F8A" w:rsidP="00A60A82">
      <w:pPr>
        <w:ind w:left="0" w:firstLine="709"/>
        <w:rPr>
          <w:rFonts w:ascii="Verdana" w:hAnsi="Verdana"/>
          <w:sz w:val="20"/>
          <w:szCs w:val="20"/>
        </w:rPr>
      </w:pPr>
      <w:r w:rsidRPr="00195E39">
        <w:rPr>
          <w:rFonts w:ascii="Verdana" w:hAnsi="Verdana"/>
          <w:sz w:val="20"/>
          <w:szCs w:val="20"/>
        </w:rPr>
        <w:t>Agreeableness, as one of the most enduring personality traits, significantly influences individual decision-making and risk tolerance. Individuals characterized by agreeableness traits, encompassing straightforwardness, warmness, modesty, and forgiveness</w:t>
      </w:r>
      <w:r w:rsidR="0069679E">
        <w:rPr>
          <w:rFonts w:ascii="Verdana" w:hAnsi="Verdana"/>
          <w:sz w:val="20"/>
          <w:szCs w:val="20"/>
        </w:rPr>
        <w:t xml:space="preserve"> </w:t>
      </w:r>
      <w:hyperlink w:anchor="_ENREF_1" w:tooltip="Ahmad, 2019 #32"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AuthorYear="1"&gt;&lt;Author&gt;Ahmad&lt;/Author&gt;&lt;Year&gt;2019&lt;/Year&gt;&lt;RecNum&gt;32&lt;/RecNum&gt;&lt;DisplayText&gt;Ahmad and Maochun (2019)&lt;/DisplayText&gt;&lt;record&gt;&lt;rec-number&gt;32&lt;/rec-number&gt;&lt;foreign-keys&gt;&lt;key app="EN" db-id="v5ve2td2jxzxrxee0pdpwrv99fpre2frs20r" timestamp="1703959129"&gt;32&lt;/key&gt;&lt;/foreign-keys&gt;&lt;ref-type name="Journal Article"&gt;17&lt;/ref-type&gt;&lt;contributors&gt;&lt;authors&gt;&lt;author&gt;Ahmad, Muneeb&lt;/author&gt;&lt;author&gt;Maochun, Zhou&lt;/author&gt;&lt;/authors&gt;&lt;/contributors&gt;&lt;titles&gt;&lt;title&gt;Personality traits and investor decisions&lt;/title&gt;&lt;secondary-title&gt;Asian Journal of Economics, Finance and Management&lt;/secondary-title&gt;&lt;/titles&gt;&lt;periodical&gt;&lt;full-title&gt;Asian Journal of Economics, Finance and Management&lt;/full-title&gt;&lt;/periodical&gt;&lt;pages&gt;19-34&lt;/pages&gt;&lt;dates&gt;&lt;year&gt;2019&lt;/year&gt;&lt;/dates&gt;&lt;urls&gt;&lt;related-urls&gt;&lt;url&gt;https://www.globalpresshub.com/index.php/AJEFM/article/view/744&lt;/url&gt;&lt;/related-urls&gt;&lt;/urls&gt;&lt;/record&gt;&lt;/Cite&gt;&lt;/EndNote&gt;</w:instrText>
        </w:r>
        <w:r w:rsidR="004372FE">
          <w:rPr>
            <w:rFonts w:ascii="Verdana" w:hAnsi="Verdana"/>
            <w:sz w:val="20"/>
            <w:szCs w:val="20"/>
          </w:rPr>
          <w:fldChar w:fldCharType="separate"/>
        </w:r>
        <w:r w:rsidR="004372FE">
          <w:rPr>
            <w:rFonts w:ascii="Verdana" w:hAnsi="Verdana"/>
            <w:noProof/>
            <w:sz w:val="20"/>
            <w:szCs w:val="20"/>
          </w:rPr>
          <w:t>Ahmad and Maochun (2019)</w:t>
        </w:r>
        <w:r w:rsidR="004372FE">
          <w:rPr>
            <w:rFonts w:ascii="Verdana" w:hAnsi="Verdana"/>
            <w:sz w:val="20"/>
            <w:szCs w:val="20"/>
          </w:rPr>
          <w:fldChar w:fldCharType="end"/>
        </w:r>
      </w:hyperlink>
      <w:r w:rsidR="00B86E69">
        <w:rPr>
          <w:rFonts w:ascii="Verdana" w:hAnsi="Verdana"/>
          <w:sz w:val="20"/>
          <w:szCs w:val="20"/>
        </w:rPr>
        <w:t xml:space="preserve">, </w:t>
      </w:r>
      <w:r w:rsidRPr="00195E39">
        <w:rPr>
          <w:rFonts w:ascii="Verdana" w:hAnsi="Verdana"/>
          <w:sz w:val="20"/>
          <w:szCs w:val="20"/>
        </w:rPr>
        <w:t>are respected for considering others' opinions and advice.</w:t>
      </w:r>
      <w:r w:rsidR="00B86E69">
        <w:rPr>
          <w:rFonts w:ascii="Verdana" w:hAnsi="Verdana"/>
          <w:sz w:val="20"/>
          <w:szCs w:val="20"/>
        </w:rPr>
        <w:t xml:space="preserve"> </w:t>
      </w:r>
      <w:hyperlink w:anchor="_ENREF_61" w:tooltip="Sadiq, 2019 #33"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AuthorYear="1"&gt;&lt;Author&gt;Sadiq&lt;/Author&gt;&lt;Year&gt;2019&lt;/Year&gt;&lt;RecNum&gt;33&lt;/RecNum&gt;&lt;DisplayText&gt;Sadiq and Akhtar (2019)&lt;/DisplayText&gt;&lt;record&gt;&lt;rec-number&gt;33&lt;/rec-number&gt;&lt;foreign-keys&gt;&lt;key app="EN" db-id="v5ve2td2jxzxrxee0pdpwrv99fpre2frs20r" timestamp="1703959238"&gt;33&lt;/key&gt;&lt;/foreign-keys&gt;&lt;ref-type name="Journal Article"&gt;17&lt;/ref-type&gt;&lt;contributors&gt;&lt;authors&gt;&lt;author&gt;Sadiq, Muhammad Nauman&lt;/author&gt;&lt;author&gt;Akhtar, Muhammad&lt;/author&gt;&lt;/authors&gt;&lt;/contributors&gt;&lt;titles&gt;&lt;title&gt;The Relationship of Investor’s Demographic Traits and Personality Type with Financial Risk Tolerance in Investment Decisions&lt;/title&gt;&lt;secondary-title&gt;Sukkur IBA Journal of Management and Business&lt;/secondary-title&gt;&lt;/titles&gt;&lt;periodical&gt;&lt;full-title&gt;Sukkur IBA Journal of Management and Business&lt;/full-title&gt;&lt;/periodical&gt;&lt;pages&gt;87-107&lt;/pages&gt;&lt;volume&gt;6&lt;/volume&gt;&lt;number&gt;1&lt;/number&gt;&lt;dates&gt;&lt;year&gt;2019&lt;/year&gt;&lt;/dates&gt;&lt;isbn&gt;2410-1885&lt;/isbn&gt;&lt;urls&gt;&lt;/urls&gt;&lt;electronic-resource-num&gt; https://doi.org/10.30537/sijmb.v6i1.449&lt;/electronic-resource-num&gt;&lt;/record&gt;&lt;/Cite&gt;&lt;/EndNote&gt;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Sadiq and Akhtar (2019)</w:t>
        </w:r>
        <w:r w:rsidR="004372FE">
          <w:rPr>
            <w:rFonts w:ascii="Verdana" w:hAnsi="Verdana"/>
            <w:sz w:val="20"/>
            <w:szCs w:val="20"/>
          </w:rPr>
          <w:fldChar w:fldCharType="end"/>
        </w:r>
      </w:hyperlink>
      <w:r w:rsidR="00CC560D">
        <w:rPr>
          <w:rFonts w:ascii="Verdana" w:hAnsi="Verdana"/>
          <w:sz w:val="20"/>
          <w:szCs w:val="20"/>
        </w:rPr>
        <w:t xml:space="preserve"> </w:t>
      </w:r>
      <w:r w:rsidRPr="00195E39">
        <w:rPr>
          <w:rFonts w:ascii="Verdana" w:hAnsi="Verdana"/>
          <w:sz w:val="20"/>
          <w:szCs w:val="20"/>
        </w:rPr>
        <w:t>emphasize that agreeable individuals often accept financial analyst judgments and advice, finding personal decision-making challenging.</w:t>
      </w:r>
      <w:r w:rsidR="00607D32">
        <w:rPr>
          <w:rFonts w:ascii="Verdana" w:hAnsi="Verdana"/>
          <w:sz w:val="20"/>
          <w:szCs w:val="20"/>
        </w:rPr>
        <w:t xml:space="preserve"> </w:t>
      </w:r>
      <w:hyperlink w:anchor="_ENREF_51" w:tooltip="Pak, 2015 #34"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AuthorYear="1"&gt;&lt;Author&gt;Pak&lt;/Author&gt;&lt;Year&gt;2015&lt;/Year&gt;&lt;RecNum&gt;34&lt;/RecNum&gt;&lt;DisplayText&gt;Pak and Mahmood (2015)&lt;/DisplayText&gt;&lt;record&gt;&lt;rec-number&gt;34&lt;/rec-number&gt;&lt;foreign-keys&gt;&lt;key app="EN" db-id="v5ve2td2jxzxrxee0pdpwrv99fpre2frs20r" timestamp="1703959368"&gt;34&lt;/key&gt;&lt;/foreign-keys&gt;&lt;ref-type name="Journal Article"&gt;17&lt;/ref-type&gt;&lt;contributors&gt;&lt;authors&gt;&lt;author&gt;Pak, Olga&lt;/author&gt;&lt;author&gt;Mahmood, Monowar&lt;/author&gt;&lt;/authors&gt;&lt;/contributors&gt;&lt;titles&gt;&lt;title&gt;Impact of personality on risk tolerance and investment decisions: A study on potential investors of Kazakhstan&lt;/title&gt;&lt;secondary-title&gt;International Journal of Commerce and Management&lt;/secondary-title&gt;&lt;/titles&gt;&lt;periodical&gt;&lt;full-title&gt;International Journal of Commerce and Management&lt;/full-title&gt;&lt;/periodical&gt;&lt;pages&gt;370-384&lt;/pages&gt;&lt;volume&gt;25&lt;/volume&gt;&lt;number&gt;4&lt;/number&gt;&lt;dates&gt;&lt;year&gt;2015&lt;/year&gt;&lt;/dates&gt;&lt;isbn&gt;1056-9219&lt;/isbn&gt;&lt;urls&gt;&lt;/urls&gt;&lt;electronic-resource-num&gt;https://doi.org/10.1108/IJCoMA-01-2013-0002&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Pak and Mahmood (2015)</w:t>
        </w:r>
        <w:r w:rsidR="004372FE">
          <w:rPr>
            <w:rFonts w:ascii="Verdana" w:hAnsi="Verdana"/>
            <w:sz w:val="20"/>
            <w:szCs w:val="20"/>
          </w:rPr>
          <w:fldChar w:fldCharType="end"/>
        </w:r>
      </w:hyperlink>
      <w:r w:rsidR="00607D32">
        <w:rPr>
          <w:rFonts w:ascii="Verdana" w:hAnsi="Verdana"/>
          <w:sz w:val="20"/>
          <w:szCs w:val="20"/>
        </w:rPr>
        <w:t xml:space="preserve"> </w:t>
      </w:r>
      <w:r w:rsidRPr="00195E39">
        <w:rPr>
          <w:rFonts w:ascii="Verdana" w:hAnsi="Verdana"/>
          <w:sz w:val="20"/>
          <w:szCs w:val="20"/>
        </w:rPr>
        <w:t xml:space="preserve">similarly note that investors high in agreeableness may struggle with independent financial decision-making, often aligning with financial analyst opinions. </w:t>
      </w:r>
    </w:p>
    <w:p w14:paraId="5F23D45A" w14:textId="77777777" w:rsidR="00EA4C9F" w:rsidRPr="00195E39" w:rsidRDefault="00EA4C9F" w:rsidP="00EA4C9F">
      <w:pPr>
        <w:ind w:left="0" w:firstLine="709"/>
        <w:rPr>
          <w:rFonts w:ascii="Verdana" w:hAnsi="Verdana"/>
          <w:sz w:val="20"/>
          <w:szCs w:val="20"/>
        </w:rPr>
      </w:pPr>
    </w:p>
    <w:p w14:paraId="264789F8" w14:textId="77777777" w:rsidR="007E1F8A" w:rsidRPr="00EA4C9F" w:rsidRDefault="007E1F8A" w:rsidP="00EA4C9F">
      <w:pPr>
        <w:pStyle w:val="ListParagraph"/>
        <w:numPr>
          <w:ilvl w:val="2"/>
          <w:numId w:val="39"/>
        </w:numPr>
        <w:ind w:left="709"/>
        <w:jc w:val="left"/>
        <w:rPr>
          <w:rFonts w:ascii="Verdana" w:hAnsi="Verdana"/>
          <w:b/>
          <w:sz w:val="22"/>
          <w:szCs w:val="22"/>
        </w:rPr>
      </w:pPr>
      <w:r w:rsidRPr="00EA4C9F">
        <w:rPr>
          <w:rFonts w:ascii="Verdana" w:hAnsi="Verdana"/>
          <w:b/>
          <w:sz w:val="22"/>
          <w:szCs w:val="22"/>
        </w:rPr>
        <w:t>Extraversion and Risk Tolerance of Individual</w:t>
      </w:r>
    </w:p>
    <w:p w14:paraId="12208393" w14:textId="77777777" w:rsidR="00EA4C9F" w:rsidRDefault="00EA4C9F" w:rsidP="00EA4C9F">
      <w:pPr>
        <w:ind w:left="0" w:firstLine="709"/>
        <w:rPr>
          <w:rFonts w:ascii="Verdana" w:hAnsi="Verdana"/>
          <w:sz w:val="20"/>
          <w:szCs w:val="20"/>
        </w:rPr>
      </w:pPr>
    </w:p>
    <w:p w14:paraId="2184BB4C" w14:textId="25D122DB" w:rsidR="007E1F8A" w:rsidRDefault="00000000" w:rsidP="00A60A82">
      <w:pPr>
        <w:ind w:left="0" w:firstLine="709"/>
        <w:rPr>
          <w:rFonts w:ascii="Verdana" w:hAnsi="Verdana"/>
          <w:sz w:val="20"/>
          <w:szCs w:val="20"/>
        </w:rPr>
      </w:pPr>
      <w:hyperlink w:anchor="_ENREF_45" w:tooltip="Mendoza, 2023 #35"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AuthorYear="1"&gt;&lt;Author&gt;Mendoza&lt;/Author&gt;&lt;Year&gt;2023&lt;/Year&gt;&lt;RecNum&gt;35&lt;/RecNum&gt;&lt;DisplayText&gt;Mendoza, Padernal, Pante, Magbata, and Mandigma (2023)&lt;/DisplayText&gt;&lt;record&gt;&lt;rec-number&gt;35&lt;/rec-number&gt;&lt;foreign-keys&gt;&lt;key app="EN" db-id="v5ve2td2jxzxrxee0pdpwrv99fpre2frs20r" timestamp="1703959493"&gt;35&lt;/key&gt;&lt;/foreign-keys&gt;&lt;ref-type name="Journal Article"&gt;17&lt;/ref-type&gt;&lt;contributors&gt;&lt;authors&gt;&lt;author&gt;Mendoza, Desiree Mae&lt;/author&gt;&lt;author&gt;Padernal, Anissa Mae G&lt;/author&gt;&lt;author&gt;Pante, Edriane Marie S&lt;/author&gt;&lt;author&gt;Magbata, Elizabeth Vivien S&lt;/author&gt;&lt;author&gt;Mandigma, Ma Belinda S&lt;/author&gt;&lt;/authors&gt;&lt;/contributors&gt;&lt;titles&gt;&lt;title&gt;Big Five Personality Traits and Financial Literacy: Effect on Risk Tolerance of Filipino Investors from Higher Education Institutions in Metro Manila&lt;/title&gt;&lt;secondary-title&gt;Review of Integrative Business and Economics Research&lt;/secondary-title&gt;&lt;/titles&gt;&lt;periodical&gt;&lt;full-title&gt;Review of Integrative Business and Economics Research&lt;/full-title&gt;&lt;/periodical&gt;&lt;pages&gt;235-251&lt;/pages&gt;&lt;volume&gt;12&lt;/volume&gt;&lt;number&gt;2&lt;/number&gt;&lt;dates&gt;&lt;year&gt;2023&lt;/year&gt;&lt;/dates&gt;&lt;isbn&gt;2414-6722&lt;/isbn&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Mendoza, Padernal, Pante, Magbata, and Mandigma (2023)</w:t>
        </w:r>
        <w:r w:rsidR="004372FE">
          <w:rPr>
            <w:rFonts w:ascii="Verdana" w:hAnsi="Verdana"/>
            <w:sz w:val="20"/>
            <w:szCs w:val="20"/>
          </w:rPr>
          <w:fldChar w:fldCharType="end"/>
        </w:r>
      </w:hyperlink>
      <w:r w:rsidR="004D6188">
        <w:rPr>
          <w:rFonts w:ascii="Verdana" w:hAnsi="Verdana"/>
          <w:sz w:val="20"/>
          <w:szCs w:val="20"/>
        </w:rPr>
        <w:t xml:space="preserve">, </w:t>
      </w:r>
      <w:r w:rsidR="007E1F8A" w:rsidRPr="00195E39">
        <w:rPr>
          <w:rFonts w:ascii="Verdana" w:hAnsi="Verdana"/>
          <w:sz w:val="20"/>
          <w:szCs w:val="20"/>
        </w:rPr>
        <w:t xml:space="preserve">research highlights that individuals with extraversion traits are sociable, energetic, and actively engage with the world. They value others' opinions as valuable sources of information, and this personality trait is associated with risk tolerance and certain behaviors. According to </w:t>
      </w:r>
      <w:hyperlink w:anchor="_ENREF_51" w:tooltip="Pak, 2015 #34"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AuthorYear="1"&gt;&lt;Author&gt;Pak&lt;/Author&gt;&lt;Year&gt;2015&lt;/Year&gt;&lt;RecNum&gt;34&lt;/RecNum&gt;&lt;DisplayText&gt;Pak and Mahmood (2015)&lt;/DisplayText&gt;&lt;record&gt;&lt;rec-number&gt;34&lt;/rec-number&gt;&lt;foreign-keys&gt;&lt;key app="EN" db-id="v5ve2td2jxzxrxee0pdpwrv99fpre2frs20r" timestamp="1703959368"&gt;34&lt;/key&gt;&lt;/foreign-keys&gt;&lt;ref-type name="Journal Article"&gt;17&lt;/ref-type&gt;&lt;contributors&gt;&lt;authors&gt;&lt;author&gt;Pak, Olga&lt;/author&gt;&lt;author&gt;Mahmood, Monowar&lt;/author&gt;&lt;/authors&gt;&lt;/contributors&gt;&lt;titles&gt;&lt;title&gt;Impact of personality on risk tolerance and investment decisions: A study on potential investors of Kazakhstan&lt;/title&gt;&lt;secondary-title&gt;International Journal of Commerce and Management&lt;/secondary-title&gt;&lt;/titles&gt;&lt;periodical&gt;&lt;full-title&gt;International Journal of Commerce and Management&lt;/full-title&gt;&lt;/periodical&gt;&lt;pages&gt;370-384&lt;/pages&gt;&lt;volume&gt;25&lt;/volume&gt;&lt;number&gt;4&lt;/number&gt;&lt;dates&gt;&lt;year&gt;2015&lt;/year&gt;&lt;/dates&gt;&lt;isbn&gt;1056-9219&lt;/isbn&gt;&lt;urls&gt;&lt;/urls&gt;&lt;electronic-resource-num&gt;https://doi.org/10.1108/IJCoMA-01-2013-0002&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Pak and Mahmood (2015)</w:t>
        </w:r>
        <w:r w:rsidR="004372FE">
          <w:rPr>
            <w:rFonts w:ascii="Verdana" w:hAnsi="Verdana"/>
            <w:sz w:val="20"/>
            <w:szCs w:val="20"/>
          </w:rPr>
          <w:fldChar w:fldCharType="end"/>
        </w:r>
      </w:hyperlink>
      <w:r w:rsidR="00F05302">
        <w:rPr>
          <w:rFonts w:ascii="Verdana" w:hAnsi="Verdana"/>
          <w:sz w:val="20"/>
          <w:szCs w:val="20"/>
        </w:rPr>
        <w:t xml:space="preserve">, </w:t>
      </w:r>
      <w:r w:rsidR="007E1F8A" w:rsidRPr="00195E39">
        <w:rPr>
          <w:rFonts w:ascii="Verdana" w:hAnsi="Verdana"/>
          <w:sz w:val="20"/>
          <w:szCs w:val="20"/>
        </w:rPr>
        <w:t xml:space="preserve">extroverted individuals exhibit friendly and sociable behaviors, with positive attitudes towards life and events. However, their inclination to overlook rationality and principles may lead to </w:t>
      </w:r>
      <w:r w:rsidR="007E1F8A" w:rsidRPr="00195E39">
        <w:rPr>
          <w:rFonts w:ascii="Verdana" w:hAnsi="Verdana"/>
          <w:sz w:val="20"/>
          <w:szCs w:val="20"/>
        </w:rPr>
        <w:lastRenderedPageBreak/>
        <w:t>overestimating market trends and underestimating risks.</w:t>
      </w:r>
      <w:r w:rsidR="00A859E1">
        <w:rPr>
          <w:rFonts w:ascii="Verdana" w:hAnsi="Verdana"/>
          <w:sz w:val="20"/>
          <w:szCs w:val="20"/>
        </w:rPr>
        <w:t xml:space="preserve"> </w:t>
      </w:r>
      <w:hyperlink w:anchor="_ENREF_4" w:tooltip="Almlund, 2011 #2"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AuthorYear="1"&gt;&lt;Author&gt;Almlund&lt;/Author&gt;&lt;Year&gt;2011&lt;/Year&gt;&lt;RecNum&gt;2&lt;/RecNum&gt;&lt;DisplayText&gt;Almlund et al. (2011)&lt;/DisplayText&gt;&lt;record&gt;&lt;rec-number&gt;2&lt;/rec-number&gt;&lt;foreign-keys&gt;&lt;key app="EN" db-id="v5ve2td2jxzxrxee0pdpwrv99fpre2frs20r" timestamp="1703940635"&gt;2&lt;/key&gt;&lt;/foreign-keys&gt;&lt;ref-type name="Book Section"&gt;5&lt;/ref-type&gt;&lt;contributors&gt;&lt;authors&gt;&lt;author&gt;Almlund, Mathilde&lt;/author&gt;&lt;author&gt;Duckworth, Angela Lee&lt;/author&gt;&lt;author&gt;Heckman, James&lt;/author&gt;&lt;author&gt;Kautz, Tim&lt;/author&gt;&lt;/authors&gt;&lt;/contributors&gt;&lt;titles&gt;&lt;title&gt;Personality psychology and economics&lt;/title&gt;&lt;secondary-title&gt;Handbook of the Economics of Education&lt;/secondary-title&gt;&lt;/titles&gt;&lt;pages&gt;1-181&lt;/pages&gt;&lt;volume&gt;4&lt;/volume&gt;&lt;dates&gt;&lt;year&gt;2011&lt;/year&gt;&lt;/dates&gt;&lt;publisher&gt;Elsevier&lt;/publisher&gt;&lt;isbn&gt;1574-0692&lt;/isbn&gt;&lt;urls&gt;&lt;/urls&gt;&lt;electronic-resource-num&gt;https://doi.org/10.1016/B978-0-444-53444-6.00001-8&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Almlund et al. (2011)</w:t>
        </w:r>
        <w:r w:rsidR="004372FE">
          <w:rPr>
            <w:rFonts w:ascii="Verdana" w:hAnsi="Verdana"/>
            <w:sz w:val="20"/>
            <w:szCs w:val="20"/>
          </w:rPr>
          <w:fldChar w:fldCharType="end"/>
        </w:r>
      </w:hyperlink>
      <w:r w:rsidR="00A859E1">
        <w:rPr>
          <w:rFonts w:ascii="Verdana" w:hAnsi="Verdana"/>
          <w:sz w:val="20"/>
          <w:szCs w:val="20"/>
        </w:rPr>
        <w:t xml:space="preserve"> </w:t>
      </w:r>
      <w:r w:rsidR="007E1F8A" w:rsidRPr="00195E39">
        <w:rPr>
          <w:rFonts w:ascii="Verdana" w:hAnsi="Verdana"/>
          <w:sz w:val="20"/>
          <w:szCs w:val="20"/>
        </w:rPr>
        <w:t>define extraversion as an orientation towards the external world, marked by positi</w:t>
      </w:r>
      <w:r w:rsidR="00647F6C">
        <w:rPr>
          <w:rFonts w:ascii="Verdana" w:hAnsi="Verdana"/>
          <w:sz w:val="20"/>
          <w:szCs w:val="20"/>
        </w:rPr>
        <w:t xml:space="preserve">ve affect and sociability. </w:t>
      </w:r>
      <w:hyperlink w:anchor="_ENREF_60" w:tooltip="Sadi, 2011 #36"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AuthorYear="1"&gt;&lt;Author&gt;Sadi&lt;/Author&gt;&lt;Year&gt;2011&lt;/Year&gt;&lt;RecNum&gt;36&lt;/RecNum&gt;&lt;DisplayText&gt;Sadi, Asl, Rostami, Gholipour, and Gholipour (2011)&lt;/DisplayText&gt;&lt;record&gt;&lt;rec-number&gt;36&lt;/rec-number&gt;&lt;foreign-keys&gt;&lt;key app="EN" db-id="v5ve2td2jxzxrxee0pdpwrv99fpre2frs20r" timestamp="1703959678"&gt;36&lt;/key&gt;&lt;/foreign-keys&gt;&lt;ref-type name="Journal Article"&gt;17&lt;/ref-type&gt;&lt;contributors&gt;&lt;authors&gt;&lt;author&gt;Sadi, Rasoul&lt;/author&gt;&lt;author&gt;Asl, Hassan Ghalibaf&lt;/author&gt;&lt;author&gt;Rostami, Mohammad Reza&lt;/author&gt;&lt;author&gt;Gholipour, Aryan&lt;/author&gt;&lt;author&gt;Gholipour, Fattaneh&lt;/author&gt;&lt;/authors&gt;&lt;/contributors&gt;&lt;titles&gt;&lt;title&gt;Behavioral finance: The explanation of investors’ personality and perceptual biases effects on financial decisions&lt;/title&gt;&lt;secondary-title&gt;International journal of economics and finance&lt;/secondary-title&gt;&lt;/titles&gt;&lt;periodical&gt;&lt;full-title&gt;International journal of economics and finance&lt;/full-title&gt;&lt;/periodical&gt;&lt;pages&gt;234-241&lt;/pages&gt;&lt;volume&gt;3&lt;/volume&gt;&lt;number&gt;5&lt;/number&gt;&lt;dates&gt;&lt;year&gt;2011&lt;/year&gt;&lt;/dates&gt;&lt;urls&gt;&lt;/urls&gt;&lt;electronic-resource-num&gt;https://doi.org/:10.5539/ijef.v3n5p234&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Sadi, Asl, Rostami, Gholipour, and Gholipour (2011)</w:t>
        </w:r>
        <w:r w:rsidR="004372FE">
          <w:rPr>
            <w:rFonts w:ascii="Verdana" w:hAnsi="Verdana"/>
            <w:sz w:val="20"/>
            <w:szCs w:val="20"/>
          </w:rPr>
          <w:fldChar w:fldCharType="end"/>
        </w:r>
      </w:hyperlink>
      <w:r w:rsidR="00647F6C">
        <w:rPr>
          <w:rFonts w:ascii="Verdana" w:hAnsi="Verdana"/>
          <w:sz w:val="20"/>
          <w:szCs w:val="20"/>
        </w:rPr>
        <w:t xml:space="preserve"> </w:t>
      </w:r>
      <w:r w:rsidR="007E1F8A" w:rsidRPr="00195E39">
        <w:rPr>
          <w:rFonts w:ascii="Verdana" w:hAnsi="Verdana"/>
          <w:sz w:val="20"/>
          <w:szCs w:val="20"/>
        </w:rPr>
        <w:t>note that extroverted individuals focus on external elements, shaping their actions based on external influences rather than personal reflection.</w:t>
      </w:r>
      <w:r w:rsidR="002A606F">
        <w:rPr>
          <w:rFonts w:ascii="Verdana" w:hAnsi="Verdana"/>
          <w:sz w:val="20"/>
          <w:szCs w:val="20"/>
        </w:rPr>
        <w:t xml:space="preserve"> </w:t>
      </w:r>
      <w:hyperlink w:anchor="_ENREF_51" w:tooltip="Pak, 2015 #34"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AuthorYear="1"&gt;&lt;Author&gt;Pak&lt;/Author&gt;&lt;Year&gt;2015&lt;/Year&gt;&lt;RecNum&gt;34&lt;/RecNum&gt;&lt;DisplayText&gt;Pak and Mahmood (2015)&lt;/DisplayText&gt;&lt;record&gt;&lt;rec-number&gt;34&lt;/rec-number&gt;&lt;foreign-keys&gt;&lt;key app="EN" db-id="v5ve2td2jxzxrxee0pdpwrv99fpre2frs20r" timestamp="1703959368"&gt;34&lt;/key&gt;&lt;/foreign-keys&gt;&lt;ref-type name="Journal Article"&gt;17&lt;/ref-type&gt;&lt;contributors&gt;&lt;authors&gt;&lt;author&gt;Pak, Olga&lt;/author&gt;&lt;author&gt;Mahmood, Monowar&lt;/author&gt;&lt;/authors&gt;&lt;/contributors&gt;&lt;titles&gt;&lt;title&gt;Impact of personality on risk tolerance and investment decisions: A study on potential investors of Kazakhstan&lt;/title&gt;&lt;secondary-title&gt;International Journal of Commerce and Management&lt;/secondary-title&gt;&lt;/titles&gt;&lt;periodical&gt;&lt;full-title&gt;International Journal of Commerce and Management&lt;/full-title&gt;&lt;/periodical&gt;&lt;pages&gt;370-384&lt;/pages&gt;&lt;volume&gt;25&lt;/volume&gt;&lt;number&gt;4&lt;/number&gt;&lt;dates&gt;&lt;year&gt;2015&lt;/year&gt;&lt;/dates&gt;&lt;isbn&gt;1056-9219&lt;/isbn&gt;&lt;urls&gt;&lt;/urls&gt;&lt;electronic-resource-num&gt;https://doi.org/10.1108/IJCoMA-01-2013-0002&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Pak and Mahmood (2015)</w:t>
        </w:r>
        <w:r w:rsidR="004372FE">
          <w:rPr>
            <w:rFonts w:ascii="Verdana" w:hAnsi="Verdana"/>
            <w:sz w:val="20"/>
            <w:szCs w:val="20"/>
          </w:rPr>
          <w:fldChar w:fldCharType="end"/>
        </w:r>
      </w:hyperlink>
      <w:r w:rsidR="002A606F">
        <w:rPr>
          <w:rFonts w:ascii="Verdana" w:hAnsi="Verdana"/>
          <w:sz w:val="20"/>
          <w:szCs w:val="20"/>
        </w:rPr>
        <w:t xml:space="preserve"> </w:t>
      </w:r>
      <w:r w:rsidR="007E1F8A" w:rsidRPr="00195E39">
        <w:rPr>
          <w:rFonts w:ascii="Verdana" w:hAnsi="Verdana"/>
          <w:sz w:val="20"/>
          <w:szCs w:val="20"/>
        </w:rPr>
        <w:t>support this, suggesting that extroverted investors may overestimate gains and underestimate losses due to their optimistic nature and its impact on risk tolerance.</w:t>
      </w:r>
    </w:p>
    <w:p w14:paraId="176C7900" w14:textId="77777777" w:rsidR="00EA4C9F" w:rsidRPr="00195E39" w:rsidRDefault="00EA4C9F" w:rsidP="00EA4C9F">
      <w:pPr>
        <w:ind w:left="0" w:firstLine="709"/>
        <w:rPr>
          <w:rFonts w:ascii="Verdana" w:hAnsi="Verdana"/>
          <w:sz w:val="20"/>
          <w:szCs w:val="20"/>
        </w:rPr>
      </w:pPr>
    </w:p>
    <w:p w14:paraId="7C122208" w14:textId="77777777" w:rsidR="007E1F8A" w:rsidRPr="00EA4C9F" w:rsidRDefault="007E1F8A" w:rsidP="00EA4C9F">
      <w:pPr>
        <w:pStyle w:val="ListParagraph"/>
        <w:numPr>
          <w:ilvl w:val="2"/>
          <w:numId w:val="39"/>
        </w:numPr>
        <w:ind w:left="709"/>
        <w:jc w:val="left"/>
        <w:rPr>
          <w:rFonts w:ascii="Verdana" w:hAnsi="Verdana"/>
          <w:b/>
          <w:sz w:val="22"/>
          <w:szCs w:val="22"/>
        </w:rPr>
      </w:pPr>
      <w:r w:rsidRPr="00EA4C9F">
        <w:rPr>
          <w:rFonts w:ascii="Verdana" w:hAnsi="Verdana"/>
          <w:b/>
          <w:sz w:val="22"/>
          <w:szCs w:val="22"/>
        </w:rPr>
        <w:t>Conscientiousness and Risk Tolerance</w:t>
      </w:r>
    </w:p>
    <w:p w14:paraId="492B08B5" w14:textId="77777777" w:rsidR="00EA4C9F" w:rsidRDefault="00EA4C9F" w:rsidP="00EA4C9F">
      <w:pPr>
        <w:ind w:left="0" w:firstLine="720"/>
        <w:rPr>
          <w:rFonts w:ascii="Verdana" w:hAnsi="Verdana"/>
          <w:sz w:val="20"/>
          <w:szCs w:val="20"/>
        </w:rPr>
      </w:pPr>
    </w:p>
    <w:p w14:paraId="5EB07B6D" w14:textId="25A83726" w:rsidR="007E1F8A" w:rsidRDefault="007E1F8A" w:rsidP="00A60A82">
      <w:pPr>
        <w:ind w:left="0" w:firstLine="720"/>
        <w:rPr>
          <w:rFonts w:ascii="Verdana" w:hAnsi="Verdana"/>
          <w:sz w:val="20"/>
          <w:szCs w:val="20"/>
        </w:rPr>
      </w:pPr>
      <w:r w:rsidRPr="00195E39">
        <w:rPr>
          <w:rFonts w:ascii="Verdana" w:hAnsi="Verdana"/>
          <w:sz w:val="20"/>
          <w:szCs w:val="20"/>
        </w:rPr>
        <w:t>Conscientiousness, a personality trait characterized by organization, responsibility, and dependability, reflects individuals who are self-disciplined, hardworking, and reliable, motivated to achieve their goals and fulfill duties</w:t>
      </w:r>
      <w:r w:rsidR="007E3FEA">
        <w:rPr>
          <w:rFonts w:ascii="Verdana" w:hAnsi="Verdana"/>
          <w:sz w:val="20"/>
          <w:szCs w:val="20"/>
        </w:rPr>
        <w:t xml:space="preserve"> </w:t>
      </w:r>
      <w:r w:rsidR="007E3FEA">
        <w:rPr>
          <w:rFonts w:ascii="Verdana" w:hAnsi="Verdana"/>
          <w:sz w:val="20"/>
          <w:szCs w:val="20"/>
        </w:rPr>
        <w:fldChar w:fldCharType="begin"/>
      </w:r>
      <w:r w:rsidR="007E3FEA">
        <w:rPr>
          <w:rFonts w:ascii="Verdana" w:hAnsi="Verdana"/>
          <w:sz w:val="20"/>
          <w:szCs w:val="20"/>
        </w:rPr>
        <w:instrText xml:space="preserve"> ADDIN EN.CITE &lt;EndNote&gt;&lt;Cite&gt;&lt;Author&gt;John&lt;/Author&gt;&lt;Year&gt;1999&lt;/Year&gt;&lt;RecNum&gt;37&lt;/RecNum&gt;&lt;DisplayText&gt;(John &amp;amp; Srivastava, 1999)&lt;/DisplayText&gt;&lt;record&gt;&lt;rec-number&gt;37&lt;/rec-number&gt;&lt;foreign-keys&gt;&lt;key app="EN" db-id="v5ve2td2jxzxrxee0pdpwrv99fpre2frs20r" timestamp="1703960491"&gt;37&lt;/key&gt;&lt;/foreign-keys&gt;&lt;ref-type name="Journal Article"&gt;17&lt;/ref-type&gt;&lt;contributors&gt;&lt;authors&gt;&lt;author&gt;John, Oliver P&lt;/author&gt;&lt;author&gt;Srivastava, Sanjay&lt;/author&gt;&lt;/authors&gt;&lt;/contributors&gt;&lt;titles&gt;&lt;title&gt;The Big-Five trait taxonomy: History, measurement, and theoretical perspectives&lt;/title&gt;&lt;/titles&gt;&lt;dates&gt;&lt;year&gt;1999&lt;/year&gt;&lt;/dates&gt;&lt;urls&gt;&lt;/urls&gt;&lt;/record&gt;&lt;/Cite&gt;&lt;/EndNote&gt;</w:instrText>
      </w:r>
      <w:r w:rsidR="007E3FEA">
        <w:rPr>
          <w:rFonts w:ascii="Verdana" w:hAnsi="Verdana"/>
          <w:sz w:val="20"/>
          <w:szCs w:val="20"/>
        </w:rPr>
        <w:fldChar w:fldCharType="separate"/>
      </w:r>
      <w:r w:rsidR="007E3FEA">
        <w:rPr>
          <w:rFonts w:ascii="Verdana" w:hAnsi="Verdana"/>
          <w:noProof/>
          <w:sz w:val="20"/>
          <w:szCs w:val="20"/>
        </w:rPr>
        <w:t>(</w:t>
      </w:r>
      <w:hyperlink w:anchor="_ENREF_32" w:tooltip="John, 1999 #37" w:history="1">
        <w:r w:rsidR="004372FE">
          <w:rPr>
            <w:rFonts w:ascii="Verdana" w:hAnsi="Verdana"/>
            <w:noProof/>
            <w:sz w:val="20"/>
            <w:szCs w:val="20"/>
          </w:rPr>
          <w:t>John &amp; Srivastava, 1999</w:t>
        </w:r>
      </w:hyperlink>
      <w:r w:rsidR="007E3FEA">
        <w:rPr>
          <w:rFonts w:ascii="Verdana" w:hAnsi="Verdana"/>
          <w:noProof/>
          <w:sz w:val="20"/>
          <w:szCs w:val="20"/>
        </w:rPr>
        <w:t>)</w:t>
      </w:r>
      <w:r w:rsidR="007E3FEA">
        <w:rPr>
          <w:rFonts w:ascii="Verdana" w:hAnsi="Verdana"/>
          <w:sz w:val="20"/>
          <w:szCs w:val="20"/>
        </w:rPr>
        <w:fldChar w:fldCharType="end"/>
      </w:r>
      <w:r w:rsidR="007E3FEA">
        <w:rPr>
          <w:rFonts w:ascii="Verdana" w:hAnsi="Verdana"/>
          <w:sz w:val="20"/>
          <w:szCs w:val="20"/>
        </w:rPr>
        <w:t xml:space="preserve">. </w:t>
      </w:r>
      <w:r w:rsidRPr="00195E39">
        <w:rPr>
          <w:rFonts w:ascii="Verdana" w:hAnsi="Verdana"/>
          <w:sz w:val="20"/>
          <w:szCs w:val="20"/>
        </w:rPr>
        <w:t xml:space="preserve">This trait is stable over time and associated with positive outcomes in academics, career success, health, and reduced risky behavior </w:t>
      </w:r>
      <w:r w:rsidR="002D087A">
        <w:rPr>
          <w:rFonts w:ascii="Verdana" w:hAnsi="Verdana"/>
          <w:sz w:val="20"/>
          <w:szCs w:val="20"/>
        </w:rPr>
        <w:fldChar w:fldCharType="begin"/>
      </w:r>
      <w:r w:rsidR="002D087A">
        <w:rPr>
          <w:rFonts w:ascii="Verdana" w:hAnsi="Verdana"/>
          <w:sz w:val="20"/>
          <w:szCs w:val="20"/>
        </w:rPr>
        <w:instrText xml:space="preserve"> ADDIN EN.CITE &lt;EndNote&gt;&lt;Cite&gt;&lt;Author&gt;Roberts&lt;/Author&gt;&lt;Year&gt;2007&lt;/Year&gt;&lt;RecNum&gt;38&lt;/RecNum&gt;&lt;DisplayText&gt;(Roberts, Kuncel, Shiner, Caspi, &amp;amp; Goldberg, 2007)&lt;/DisplayText&gt;&lt;record&gt;&lt;rec-number&gt;38&lt;/rec-number&gt;&lt;foreign-keys&gt;&lt;key app="EN" db-id="v5ve2td2jxzxrxee0pdpwrv99fpre2frs20r" timestamp="1703960611"&gt;38&lt;/key&gt;&lt;/foreign-keys&gt;&lt;ref-type name="Journal Article"&gt;17&lt;/ref-type&gt;&lt;contributors&gt;&lt;authors&gt;&lt;author&gt;Roberts, Brent W&lt;/author&gt;&lt;author&gt;Kuncel, Nathan R&lt;/author&gt;&lt;author&gt;Shiner, Rebecca&lt;/author&gt;&lt;author&gt;Caspi, Avshalom&lt;/author&gt;&lt;author&gt;Goldberg, Lewis R&lt;/author&gt;&lt;/authors&gt;&lt;/contributors&gt;&lt;titles&gt;&lt;title&gt;The power of personality: The comparative validity of personality traits, socioeconomic status, and cognitive ability for predicting important life outcomes&lt;/title&gt;&lt;secondary-title&gt;Perspectives on Psychological science&lt;/secondary-title&gt;&lt;/titles&gt;&lt;periodical&gt;&lt;full-title&gt;Perspectives on Psychological science&lt;/full-title&gt;&lt;/periodical&gt;&lt;pages&gt;313-345&lt;/pages&gt;&lt;volume&gt;2&lt;/volume&gt;&lt;number&gt;4&lt;/number&gt;&lt;dates&gt;&lt;year&gt;2007&lt;/year&gt;&lt;/dates&gt;&lt;isbn&gt;1745-6916&lt;/isbn&gt;&lt;urls&gt;&lt;/urls&gt;&lt;electronic-resource-num&gt;https://doi.org/10.1111/j.1745-6916.2007.00047.x&lt;/electronic-resource-num&gt;&lt;/record&gt;&lt;/Cite&gt;&lt;/EndNote&gt;</w:instrText>
      </w:r>
      <w:r w:rsidR="002D087A">
        <w:rPr>
          <w:rFonts w:ascii="Verdana" w:hAnsi="Verdana"/>
          <w:sz w:val="20"/>
          <w:szCs w:val="20"/>
        </w:rPr>
        <w:fldChar w:fldCharType="separate"/>
      </w:r>
      <w:r w:rsidR="002D087A">
        <w:rPr>
          <w:rFonts w:ascii="Verdana" w:hAnsi="Verdana"/>
          <w:noProof/>
          <w:sz w:val="20"/>
          <w:szCs w:val="20"/>
        </w:rPr>
        <w:t>(</w:t>
      </w:r>
      <w:hyperlink w:anchor="_ENREF_58" w:tooltip="Roberts, 2007 #38" w:history="1">
        <w:r w:rsidR="004372FE">
          <w:rPr>
            <w:rFonts w:ascii="Verdana" w:hAnsi="Verdana"/>
            <w:noProof/>
            <w:sz w:val="20"/>
            <w:szCs w:val="20"/>
          </w:rPr>
          <w:t>Roberts, Kuncel, Shiner, Caspi, &amp; Goldberg, 2007</w:t>
        </w:r>
      </w:hyperlink>
      <w:r w:rsidR="002D087A">
        <w:rPr>
          <w:rFonts w:ascii="Verdana" w:hAnsi="Verdana"/>
          <w:noProof/>
          <w:sz w:val="20"/>
          <w:szCs w:val="20"/>
        </w:rPr>
        <w:t>)</w:t>
      </w:r>
      <w:r w:rsidR="002D087A">
        <w:rPr>
          <w:rFonts w:ascii="Verdana" w:hAnsi="Verdana"/>
          <w:sz w:val="20"/>
          <w:szCs w:val="20"/>
        </w:rPr>
        <w:fldChar w:fldCharType="end"/>
      </w:r>
      <w:r w:rsidR="002D087A">
        <w:rPr>
          <w:rFonts w:ascii="Verdana" w:hAnsi="Verdana"/>
          <w:sz w:val="20"/>
          <w:szCs w:val="20"/>
        </w:rPr>
        <w:t xml:space="preserve">. </w:t>
      </w:r>
      <w:r w:rsidRPr="00195E39">
        <w:rPr>
          <w:rFonts w:ascii="Verdana" w:hAnsi="Verdana"/>
          <w:sz w:val="20"/>
          <w:szCs w:val="20"/>
        </w:rPr>
        <w:t>Conscientiousness significantly impacts various aspects of life, including job performance, relationships, and mental health</w:t>
      </w:r>
      <w:r w:rsidR="004B674D">
        <w:rPr>
          <w:rFonts w:ascii="Verdana" w:hAnsi="Verdana"/>
          <w:sz w:val="20"/>
          <w:szCs w:val="20"/>
        </w:rPr>
        <w:t xml:space="preserve"> </w:t>
      </w:r>
      <w:r w:rsidR="004B674D">
        <w:rPr>
          <w:rFonts w:ascii="Verdana" w:hAnsi="Verdana"/>
          <w:sz w:val="20"/>
          <w:szCs w:val="20"/>
        </w:rPr>
        <w:fldChar w:fldCharType="begin">
          <w:fldData xml:space="preserve">PEVuZE5vdGU+PENpdGU+PEF1dGhvcj5Sb2JlcnRzPC9BdXRob3I+PFllYXI+MjAwNzwvWWVhcj48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</w:fldData>
        </w:fldChar>
      </w:r>
      <w:r w:rsidR="004B674D">
        <w:rPr>
          <w:rFonts w:ascii="Verdana" w:hAnsi="Verdana"/>
          <w:sz w:val="20"/>
          <w:szCs w:val="20"/>
        </w:rPr>
        <w:instrText xml:space="preserve"> ADDIN EN.CITE </w:instrText>
      </w:r>
      <w:r w:rsidR="004B674D">
        <w:rPr>
          <w:rFonts w:ascii="Verdana" w:hAnsi="Verdana"/>
          <w:sz w:val="20"/>
          <w:szCs w:val="20"/>
        </w:rPr>
        <w:fldChar w:fldCharType="begin">
          <w:fldData xml:space="preserve">PEVuZE5vdGU+PENpdGU+PEF1dGhvcj5Sb2JlcnRzPC9BdXRob3I+PFllYXI+MjAwNzwvWWVhcj48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</w:fldData>
        </w:fldChar>
      </w:r>
      <w:r w:rsidR="004B674D">
        <w:rPr>
          <w:rFonts w:ascii="Verdana" w:hAnsi="Verdana"/>
          <w:sz w:val="20"/>
          <w:szCs w:val="20"/>
        </w:rPr>
        <w:instrText xml:space="preserve"> ADDIN EN.CITE.DATA </w:instrText>
      </w:r>
      <w:r w:rsidR="004B674D">
        <w:rPr>
          <w:rFonts w:ascii="Verdana" w:hAnsi="Verdana"/>
          <w:sz w:val="20"/>
          <w:szCs w:val="20"/>
        </w:rPr>
      </w:r>
      <w:r w:rsidR="004B674D">
        <w:rPr>
          <w:rFonts w:ascii="Verdana" w:hAnsi="Verdana"/>
          <w:sz w:val="20"/>
          <w:szCs w:val="20"/>
        </w:rPr>
        <w:fldChar w:fldCharType="end"/>
      </w:r>
      <w:r w:rsidR="004B674D">
        <w:rPr>
          <w:rFonts w:ascii="Verdana" w:hAnsi="Verdana"/>
          <w:sz w:val="20"/>
          <w:szCs w:val="20"/>
        </w:rPr>
      </w:r>
      <w:r w:rsidR="004B674D">
        <w:rPr>
          <w:rFonts w:ascii="Verdana" w:hAnsi="Verdana"/>
          <w:sz w:val="20"/>
          <w:szCs w:val="20"/>
        </w:rPr>
        <w:fldChar w:fldCharType="separate"/>
      </w:r>
      <w:r w:rsidR="004B674D">
        <w:rPr>
          <w:rFonts w:ascii="Verdana" w:hAnsi="Verdana"/>
          <w:noProof/>
          <w:sz w:val="20"/>
          <w:szCs w:val="20"/>
        </w:rPr>
        <w:t>(</w:t>
      </w:r>
      <w:hyperlink w:anchor="_ENREF_58" w:tooltip="Roberts, 2007 #38" w:history="1">
        <w:r w:rsidR="004372FE">
          <w:rPr>
            <w:rFonts w:ascii="Verdana" w:hAnsi="Verdana"/>
            <w:noProof/>
            <w:sz w:val="20"/>
            <w:szCs w:val="20"/>
          </w:rPr>
          <w:t>Roberts et al., 2007</w:t>
        </w:r>
      </w:hyperlink>
      <w:r w:rsidR="004B674D">
        <w:rPr>
          <w:rFonts w:ascii="Verdana" w:hAnsi="Verdana"/>
          <w:noProof/>
          <w:sz w:val="20"/>
          <w:szCs w:val="20"/>
        </w:rPr>
        <w:t xml:space="preserve">; </w:t>
      </w:r>
      <w:hyperlink w:anchor="_ENREF_65" w:tooltip="Tett, 1994 #39" w:history="1">
        <w:r w:rsidR="004372FE">
          <w:rPr>
            <w:rFonts w:ascii="Verdana" w:hAnsi="Verdana"/>
            <w:noProof/>
            <w:sz w:val="20"/>
            <w:szCs w:val="20"/>
          </w:rPr>
          <w:t>Tett, Jackson, Rothstein, &amp; Reddon, 1994</w:t>
        </w:r>
      </w:hyperlink>
      <w:r w:rsidR="004B674D">
        <w:rPr>
          <w:rFonts w:ascii="Verdana" w:hAnsi="Verdana"/>
          <w:noProof/>
          <w:sz w:val="20"/>
          <w:szCs w:val="20"/>
        </w:rPr>
        <w:t>)</w:t>
      </w:r>
      <w:r w:rsidR="004B674D">
        <w:rPr>
          <w:rFonts w:ascii="Verdana" w:hAnsi="Verdana"/>
          <w:sz w:val="20"/>
          <w:szCs w:val="20"/>
        </w:rPr>
        <w:fldChar w:fldCharType="end"/>
      </w:r>
      <w:r w:rsidR="004B674D">
        <w:rPr>
          <w:rFonts w:ascii="Verdana" w:hAnsi="Verdana"/>
          <w:sz w:val="20"/>
          <w:szCs w:val="20"/>
        </w:rPr>
        <w:t>.</w:t>
      </w:r>
      <w:r w:rsidR="00D059C8">
        <w:rPr>
          <w:rFonts w:ascii="Verdana" w:hAnsi="Verdana"/>
          <w:sz w:val="20"/>
          <w:szCs w:val="20"/>
        </w:rPr>
        <w:t xml:space="preserve"> </w:t>
      </w:r>
    </w:p>
    <w:p w14:paraId="15172F80" w14:textId="77777777" w:rsidR="00EA4C9F" w:rsidRPr="00195E39" w:rsidRDefault="00EA4C9F" w:rsidP="00EA4C9F">
      <w:pPr>
        <w:ind w:left="0" w:firstLine="720"/>
        <w:rPr>
          <w:rFonts w:ascii="Verdana" w:hAnsi="Verdana"/>
          <w:sz w:val="20"/>
          <w:szCs w:val="20"/>
        </w:rPr>
      </w:pPr>
    </w:p>
    <w:p w14:paraId="337BDB71" w14:textId="77777777" w:rsidR="007E1F8A" w:rsidRPr="00EA4C9F" w:rsidRDefault="007E1F8A" w:rsidP="00EA4C9F">
      <w:pPr>
        <w:pStyle w:val="ListParagraph"/>
        <w:numPr>
          <w:ilvl w:val="2"/>
          <w:numId w:val="39"/>
        </w:numPr>
        <w:ind w:left="709"/>
        <w:jc w:val="left"/>
        <w:rPr>
          <w:rFonts w:ascii="Verdana" w:hAnsi="Verdana"/>
          <w:b/>
          <w:sz w:val="22"/>
          <w:szCs w:val="22"/>
        </w:rPr>
      </w:pPr>
      <w:r w:rsidRPr="00EA4C9F">
        <w:rPr>
          <w:rFonts w:ascii="Verdana" w:hAnsi="Verdana"/>
          <w:b/>
          <w:sz w:val="22"/>
          <w:szCs w:val="22"/>
        </w:rPr>
        <w:t>Openness to Experience and Financial Risk Tolerance</w:t>
      </w:r>
    </w:p>
    <w:p w14:paraId="708F5B6B" w14:textId="77777777" w:rsidR="00EA4C9F" w:rsidRDefault="00EA4C9F" w:rsidP="00EA4C9F">
      <w:pPr>
        <w:ind w:left="0" w:firstLine="709"/>
        <w:rPr>
          <w:rFonts w:ascii="Verdana" w:hAnsi="Verdana"/>
          <w:sz w:val="20"/>
          <w:szCs w:val="20"/>
        </w:rPr>
      </w:pPr>
    </w:p>
    <w:p w14:paraId="319E4589" w14:textId="12A9A9DC" w:rsidR="007E1F8A" w:rsidRDefault="007E1F8A" w:rsidP="00A60A82">
      <w:pPr>
        <w:ind w:left="0" w:firstLine="709"/>
        <w:rPr>
          <w:rFonts w:ascii="Verdana" w:hAnsi="Verdana"/>
          <w:sz w:val="20"/>
          <w:szCs w:val="20"/>
        </w:rPr>
      </w:pPr>
      <w:r w:rsidRPr="00195E39">
        <w:rPr>
          <w:rFonts w:ascii="Verdana" w:hAnsi="Verdana"/>
          <w:sz w:val="20"/>
          <w:szCs w:val="20"/>
        </w:rPr>
        <w:t>Openness to experience, a personality trait reflecting an individual's readiness to explore new ideas, values, and experiences, has become a subject of interest in understanding its relationship with financial risk tolerance. Financial risk tolerance pertains to an individual's readiness to take financial risks for potential higher returns. Academic literature suggests a positive correlation between openness to experience and financial risk tolerance. Studies, such as the one by</w:t>
      </w:r>
      <w:r w:rsidR="00F8340A">
        <w:rPr>
          <w:rFonts w:ascii="Verdana" w:hAnsi="Verdana"/>
          <w:sz w:val="20"/>
          <w:szCs w:val="20"/>
        </w:rPr>
        <w:t xml:space="preserve"> </w:t>
      </w:r>
      <w:hyperlink w:anchor="_ENREF_26" w:tooltip="Hamza, 2019 #40"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AuthorYear="1"&gt;&lt;Author&gt;Hamza&lt;/Author&gt;&lt;Year&gt;2019&lt;/Year&gt;&lt;RecNum&gt;40&lt;/RecNum&gt;&lt;DisplayText&gt;Hamza and Arif (2019)&lt;/DisplayText&gt;&lt;record&gt;&lt;rec-number&gt;40&lt;/rec-number&gt;&lt;foreign-keys&gt;&lt;key app="EN" db-id="v5ve2td2jxzxrxee0pdpwrv99fpre2frs20r" timestamp="1703960827"&gt;40&lt;/key&gt;&lt;/foreign-keys&gt;&lt;ref-type name="Journal Article"&gt;17&lt;/ref-type&gt;&lt;contributors&gt;&lt;authors&gt;&lt;author&gt;Hamza, Nasrullah&lt;/author&gt;&lt;author&gt;Arif, Imtiaz&lt;/author&gt;&lt;/authors&gt;&lt;/contributors&gt;&lt;titles&gt;&lt;title&gt;Impact of financial literacy on investment decisions: The mediating effect of big-five personality traits model&lt;/title&gt;&lt;secondary-title&gt;Market Forces&lt;/secondary-title&gt;&lt;/titles&gt;&lt;periodical&gt;&lt;full-title&gt;Market Forces&lt;/full-title&gt;&lt;/periodical&gt;&lt;volume&gt;14&lt;/volume&gt;&lt;number&gt;1&lt;/number&gt;&lt;dates&gt;&lt;year&gt;2019&lt;/year&gt;&lt;/dates&gt;&lt;isbn&gt;2309-866X&lt;/isbn&gt;&lt;urls&gt;&lt;/urls&gt;&lt;/record&gt;&lt;/Cite&gt;&lt;/EndNote&gt;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Hamza and Arif (2019)</w:t>
        </w:r>
        <w:r w:rsidR="004372FE">
          <w:rPr>
            <w:rFonts w:ascii="Verdana" w:hAnsi="Verdana"/>
            <w:sz w:val="20"/>
            <w:szCs w:val="20"/>
          </w:rPr>
          <w:fldChar w:fldCharType="end"/>
        </w:r>
      </w:hyperlink>
      <w:r w:rsidR="00CC21F2">
        <w:rPr>
          <w:rFonts w:ascii="Verdana" w:hAnsi="Verdana"/>
          <w:sz w:val="20"/>
          <w:szCs w:val="20"/>
        </w:rPr>
        <w:t>,</w:t>
      </w:r>
      <w:r w:rsidRPr="00195E39">
        <w:rPr>
          <w:rFonts w:ascii="Verdana" w:hAnsi="Verdana"/>
          <w:sz w:val="20"/>
          <w:szCs w:val="20"/>
        </w:rPr>
        <w:t xml:space="preserve"> discovered that individuals with higher levels of openness to experience tended to exhibit higher financial risk tolerance. Similarly, research by </w:t>
      </w:r>
      <w:hyperlink w:anchor="_ENREF_17" w:tooltip="Fisher, 2003 #41"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AuthorYear="1"&gt;&lt;Author&gt;Fisher&lt;/Author&gt;&lt;Year&gt;2003&lt;/Year&gt;&lt;RecNum&gt;41&lt;/RecNum&gt;&lt;DisplayText&gt;Fisher and Statman (2003)&lt;/DisplayText&gt;&lt;record&gt;&lt;rec-number&gt;41&lt;/rec-number&gt;&lt;foreign-keys&gt;&lt;key app="EN" db-id="v5ve2td2jxzxrxee0pdpwrv99fpre2frs20r" timestamp="1703960898"&gt;41&lt;/key&gt;&lt;/foreign-keys&gt;&lt;ref-type name="Journal Article"&gt;17&lt;/ref-type&gt;&lt;contributors&gt;&lt;authors&gt;&lt;author&gt;Fisher, Kenneth L&lt;/author&gt;&lt;author&gt;Statman, Meir&lt;/author&gt;&lt;/authors&gt;&lt;/contributors&gt;&lt;titles&gt;&lt;title&gt;Consumer confidence and stock returns&lt;/title&gt;&lt;secondary-title&gt;Journal of Portfolio Management&lt;/secondary-title&gt;&lt;/titles&gt;&lt;periodical&gt;&lt;full-title&gt;Journal of Portfolio Management&lt;/full-title&gt;&lt;/periodical&gt;&lt;pages&gt;115-127&lt;/pages&gt;&lt;volume&gt;30&lt;/volume&gt;&lt;number&gt;1&lt;/number&gt;&lt;dates&gt;&lt;year&gt;2003&lt;/year&gt;&lt;/dates&gt;&lt;isbn&gt;0095-4918&lt;/isbn&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Fisher and Statman (2003)</w:t>
        </w:r>
        <w:r w:rsidR="004372FE">
          <w:rPr>
            <w:rFonts w:ascii="Verdana" w:hAnsi="Verdana"/>
            <w:sz w:val="20"/>
            <w:szCs w:val="20"/>
          </w:rPr>
          <w:fldChar w:fldCharType="end"/>
        </w:r>
      </w:hyperlink>
      <w:r w:rsidR="006E1A72">
        <w:rPr>
          <w:rFonts w:ascii="Verdana" w:hAnsi="Verdana"/>
          <w:sz w:val="20"/>
          <w:szCs w:val="20"/>
        </w:rPr>
        <w:t xml:space="preserve"> </w:t>
      </w:r>
      <w:r w:rsidRPr="00195E39">
        <w:rPr>
          <w:rFonts w:ascii="Verdana" w:hAnsi="Verdana"/>
          <w:sz w:val="20"/>
          <w:szCs w:val="20"/>
        </w:rPr>
        <w:t>found that individuals with higher openness levels were more inclined to invest in high-risk, high-reward assets like stocks and mutual funds. However, it's worth noting that other studies have reported mixed or no clear relationship between openness to experience and financial risk tolerance.</w:t>
      </w:r>
    </w:p>
    <w:p w14:paraId="5E95AF52" w14:textId="77777777" w:rsidR="00EA4C9F" w:rsidRPr="00195E39" w:rsidRDefault="00EA4C9F" w:rsidP="00EA4C9F">
      <w:pPr>
        <w:ind w:left="0" w:firstLine="709"/>
        <w:rPr>
          <w:rFonts w:ascii="Verdana" w:hAnsi="Verdana"/>
          <w:sz w:val="20"/>
          <w:szCs w:val="20"/>
        </w:rPr>
      </w:pPr>
    </w:p>
    <w:p w14:paraId="1FDE5730" w14:textId="77777777" w:rsidR="007E1F8A" w:rsidRPr="00EA4C9F" w:rsidRDefault="007E1F8A" w:rsidP="00EA4C9F">
      <w:pPr>
        <w:pStyle w:val="ListParagraph"/>
        <w:numPr>
          <w:ilvl w:val="2"/>
          <w:numId w:val="39"/>
        </w:numPr>
        <w:ind w:left="709"/>
        <w:jc w:val="left"/>
        <w:rPr>
          <w:rFonts w:ascii="Verdana" w:hAnsi="Verdana"/>
          <w:b/>
          <w:sz w:val="22"/>
          <w:szCs w:val="22"/>
        </w:rPr>
      </w:pPr>
      <w:r w:rsidRPr="00EA4C9F">
        <w:rPr>
          <w:rFonts w:ascii="Verdana" w:hAnsi="Verdana"/>
          <w:b/>
          <w:sz w:val="22"/>
          <w:szCs w:val="22"/>
        </w:rPr>
        <w:t>Neuroticism and Financial Risk Tolerance</w:t>
      </w:r>
    </w:p>
    <w:p w14:paraId="099DB849" w14:textId="77777777" w:rsidR="00EA4C9F" w:rsidRDefault="00EA4C9F" w:rsidP="00EA4C9F">
      <w:pPr>
        <w:ind w:left="0" w:firstLine="709"/>
        <w:rPr>
          <w:rFonts w:ascii="Verdana" w:hAnsi="Verdana"/>
          <w:sz w:val="20"/>
          <w:szCs w:val="20"/>
        </w:rPr>
      </w:pPr>
    </w:p>
    <w:p w14:paraId="2FC38BAE" w14:textId="07EAA141" w:rsidR="007E1F8A" w:rsidRDefault="007E1F8A" w:rsidP="00A60A82">
      <w:pPr>
        <w:ind w:left="0" w:firstLine="709"/>
        <w:rPr>
          <w:rFonts w:ascii="Verdana" w:hAnsi="Verdana"/>
          <w:sz w:val="20"/>
          <w:szCs w:val="20"/>
        </w:rPr>
      </w:pPr>
      <w:r w:rsidRPr="00195E39">
        <w:rPr>
          <w:rFonts w:ascii="Verdana" w:hAnsi="Verdana"/>
          <w:sz w:val="20"/>
          <w:szCs w:val="20"/>
        </w:rPr>
        <w:t>Neuroticism, a personality trait characterized by anxiety, worry, and emotional instability, is consistently associated with a negative correlation with financial risk tolerance. Various studies support this relationship, demonstrating that individuals with higher levels of neuroticism tend to exhibit lower levels of risk-taking behavior in financial decision-making. For instance,</w:t>
      </w:r>
      <w:r w:rsidR="00E86694">
        <w:rPr>
          <w:rFonts w:ascii="Verdana" w:hAnsi="Verdana"/>
          <w:sz w:val="20"/>
          <w:szCs w:val="20"/>
        </w:rPr>
        <w:t xml:space="preserve"> </w:t>
      </w:r>
      <w:hyperlink w:anchor="_ENREF_8" w:tooltip="Baker, 2021 #42"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AuthorYear="1"&gt;&lt;Author&gt;Baker&lt;/Author&gt;&lt;Year&gt;2021&lt;/Year&gt;&lt;RecNum&gt;42&lt;/RecNum&gt;&lt;DisplayText&gt;Baker, Kumar, and Goyal (2021)&lt;/DisplayText&gt;&lt;record&gt;&lt;rec-number&gt;42&lt;/rec-number&gt;&lt;foreign-keys&gt;&lt;key app="EN" db-id="v5ve2td2jxzxrxee0pdpwrv99fpre2frs20r" timestamp="1703960993"&gt;42&lt;/key&gt;&lt;/foreign-keys&gt;&lt;ref-type name="Journal Article"&gt;17&lt;/ref-type&gt;&lt;contributors&gt;&lt;authors&gt;&lt;author&gt;Baker, H Kent&lt;/author&gt;&lt;author&gt;Kumar, Satish&lt;/author&gt;&lt;author&gt;Goyal, Nisha&lt;/author&gt;&lt;/authors&gt;&lt;/contributors&gt;&lt;titles&gt;&lt;title&gt;Personality traits and investor sentiment&lt;/title&gt;&lt;secondary-title&gt;Review of Behavioral Finance&lt;/secondary-title&gt;&lt;/titles&gt;&lt;periodical&gt;&lt;full-title&gt;Review of Behavioral Finance&lt;/full-title&gt;&lt;/periodical&gt;&lt;pages&gt;354-369&lt;/pages&gt;&lt;volume&gt;13&lt;/volume&gt;&lt;number&gt;4&lt;/number&gt;&lt;dates&gt;&lt;year&gt;2021&lt;/year&gt;&lt;/dates&gt;&lt;isbn&gt;1940-5979&lt;/isbn&gt;&lt;urls&gt;&lt;/urls&gt;&lt;electronic-resource-num&gt;https://doi.org/10.1108/RBF-08-2017-0077&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Baker, Kumar, and Goyal (2021)</w:t>
        </w:r>
        <w:r w:rsidR="004372FE">
          <w:rPr>
            <w:rFonts w:ascii="Verdana" w:hAnsi="Verdana"/>
            <w:sz w:val="20"/>
            <w:szCs w:val="20"/>
          </w:rPr>
          <w:fldChar w:fldCharType="end"/>
        </w:r>
      </w:hyperlink>
      <w:r w:rsidRPr="00195E39">
        <w:rPr>
          <w:rFonts w:ascii="Verdana" w:hAnsi="Verdana"/>
          <w:sz w:val="20"/>
          <w:szCs w:val="20"/>
        </w:rPr>
        <w:t xml:space="preserve"> found such a pattern, where heightened neuroticism was linked to reduced risk-taking behavior. Additionally, neuroticism was identified as significant factors influencing individuals' behavior in the experimental asset market, according to the findings of </w:t>
      </w:r>
      <w:r w:rsidR="00B30E3A">
        <w:rPr>
          <w:rFonts w:ascii="Verdana" w:hAnsi="Verdana"/>
          <w:sz w:val="20"/>
          <w:szCs w:val="20"/>
        </w:rPr>
        <w:fldChar w:fldCharType="begin"/>
      </w:r>
      <w:r w:rsidR="00B30E3A">
        <w:rPr>
          <w:rFonts w:ascii="Verdana" w:hAnsi="Verdana"/>
          <w:sz w:val="20"/>
          <w:szCs w:val="20"/>
        </w:rPr>
        <w:instrText xml:space="preserve"> ADDIN EN.CITE &lt;EndNote&gt;&lt;Cite&gt;&lt;Author&gt;Oehler&lt;/Author&gt;&lt;Year&gt;2018&lt;/Year&gt;&lt;RecNum&gt;43&lt;/RecNum&gt;&lt;DisplayText&gt;(Oehler, Wendt, Wedlich, &amp;amp; Horn, 2018)&lt;/DisplayText&gt;&lt;record&gt;&lt;rec-number&gt;43&lt;/rec-number&gt;&lt;foreign-keys&gt;&lt;key app="EN" db-id="v5ve2td2jxzxrxee0pdpwrv99fpre2frs20r" timestamp="1703961071"&gt;43&lt;/key&gt;&lt;/foreign-keys&gt;&lt;ref-type name="Journal Article"&gt;17&lt;/ref-type&gt;&lt;contributors&gt;&lt;authors&gt;&lt;author&gt;Oehler, Andreas&lt;/author&gt;&lt;author&gt;Wendt, Stefan&lt;/author&gt;&lt;author&gt;Wedlich, Florian&lt;/author&gt;&lt;author&gt;Horn, Matthias&lt;/author&gt;&lt;/authors&gt;&lt;/contributors&gt;&lt;titles&gt;&lt;title&gt;Investors&amp;apos; personality influences investment decisions: Experimental evidence on extraversion and neuroticism&lt;/title&gt;&lt;secondary-title&gt;Journal of Behavioral Finance&lt;/secondary-title&gt;&lt;/titles&gt;&lt;periodical&gt;&lt;full-title&gt;Journal of Behavioral Finance&lt;/full-title&gt;&lt;/periodical&gt;&lt;pages&gt;30-48&lt;/pages&gt;&lt;volume&gt;19&lt;/volume&gt;&lt;number&gt;1&lt;/number&gt;&lt;dates&gt;&lt;year&gt;2018&lt;/year&gt;&lt;/dates&gt;&lt;isbn&gt;1542-7560&lt;/isbn&gt;&lt;urls&gt;&lt;/urls&gt;&lt;electronic-resource-num&gt;https://doi.org/10.1080/15427560.2017.1366495&lt;/electronic-resource-num&gt;&lt;/record&gt;&lt;/Cite&gt;&lt;/EndNote&gt;</w:instrText>
      </w:r>
      <w:r w:rsidR="00B30E3A">
        <w:rPr>
          <w:rFonts w:ascii="Verdana" w:hAnsi="Verdana"/>
          <w:sz w:val="20"/>
          <w:szCs w:val="20"/>
        </w:rPr>
        <w:fldChar w:fldCharType="separate"/>
      </w:r>
      <w:r w:rsidR="00B30E3A">
        <w:rPr>
          <w:rFonts w:ascii="Verdana" w:hAnsi="Verdana"/>
          <w:noProof/>
          <w:sz w:val="20"/>
          <w:szCs w:val="20"/>
        </w:rPr>
        <w:t>(</w:t>
      </w:r>
      <w:hyperlink w:anchor="_ENREF_49" w:tooltip="Oehler, 2018 #43" w:history="1">
        <w:r w:rsidR="004372FE">
          <w:rPr>
            <w:rFonts w:ascii="Verdana" w:hAnsi="Verdana"/>
            <w:noProof/>
            <w:sz w:val="20"/>
            <w:szCs w:val="20"/>
          </w:rPr>
          <w:t>Oehler, Wendt, Wedlich, &amp; Horn, 2018</w:t>
        </w:r>
      </w:hyperlink>
      <w:r w:rsidR="00B30E3A">
        <w:rPr>
          <w:rFonts w:ascii="Verdana" w:hAnsi="Verdana"/>
          <w:noProof/>
          <w:sz w:val="20"/>
          <w:szCs w:val="20"/>
        </w:rPr>
        <w:t>)</w:t>
      </w:r>
      <w:r w:rsidR="00B30E3A">
        <w:rPr>
          <w:rFonts w:ascii="Verdana" w:hAnsi="Verdana"/>
          <w:sz w:val="20"/>
          <w:szCs w:val="20"/>
        </w:rPr>
        <w:fldChar w:fldCharType="end"/>
      </w:r>
      <w:r w:rsidR="00B30E3A">
        <w:rPr>
          <w:rFonts w:ascii="Verdana" w:hAnsi="Verdana"/>
          <w:sz w:val="20"/>
          <w:szCs w:val="20"/>
        </w:rPr>
        <w:t xml:space="preserve">. </w:t>
      </w:r>
      <w:hyperlink w:anchor="_ENREF_38" w:tooltip="Kumar, 2020 #44"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AuthorYear="1"&gt;&lt;Author&gt;Kumar&lt;/Author&gt;&lt;Year&gt;2020&lt;/Year&gt;&lt;RecNum&gt;44&lt;/RecNum&gt;&lt;DisplayText&gt;Kumar, Mishra, Saxena, Singh, and Kumar (2020)&lt;/DisplayText&gt;&lt;record&gt;&lt;rec-number&gt;44&lt;/rec-number&gt;&lt;foreign-keys&gt;&lt;key app="EN" db-id="v5ve2td2jxzxrxee0pdpwrv99fpre2frs20r" timestamp="1703961313"&gt;44&lt;/key&gt;&lt;/foreign-keys&gt;&lt;ref-type name="Journal Article"&gt;17&lt;/ref-type&gt;&lt;contributors&gt;&lt;authors&gt;&lt;author&gt;Kumar, Mahendra&lt;/author&gt;&lt;author&gt;Mishra, Gayatri Jay&lt;/author&gt;&lt;author&gt;Saxena, Sumanlata&lt;/author&gt;&lt;author&gt;Singh, Vandana&lt;/author&gt;&lt;author&gt;Kumar, Mahesh&lt;/author&gt;&lt;/authors&gt;&lt;/contributors&gt;&lt;titles&gt;&lt;title&gt;Predicting effect of Personality Traits and Age on Emotional Intelligence&lt;/title&gt;&lt;secondary-title&gt;Indian Journal of Public Health Research &amp;amp; Development&lt;/secondary-title&gt;&lt;/titles&gt;&lt;periodical&gt;&lt;full-title&gt;Indian Journal of Public Health Research &amp;amp; Development&lt;/full-title&gt;&lt;/periodical&gt;&lt;pages&gt;764-769&lt;/pages&gt;&lt;volume&gt;11&lt;/volume&gt;&lt;number&gt;3&lt;/number&gt;&lt;dates&gt;&lt;year&gt;2020&lt;/year&gt;&lt;/dates&gt;&lt;isbn&gt;0976-5506&lt;/isbn&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Kumar, Mishra, Saxena, Singh, and Kumar (2020)</w:t>
        </w:r>
        <w:r w:rsidR="004372FE">
          <w:rPr>
            <w:rFonts w:ascii="Verdana" w:hAnsi="Verdana"/>
            <w:sz w:val="20"/>
            <w:szCs w:val="20"/>
          </w:rPr>
          <w:fldChar w:fldCharType="end"/>
        </w:r>
      </w:hyperlink>
      <w:r w:rsidR="00344C05">
        <w:rPr>
          <w:rFonts w:ascii="Verdana" w:hAnsi="Verdana"/>
          <w:sz w:val="20"/>
          <w:szCs w:val="20"/>
        </w:rPr>
        <w:t xml:space="preserve"> </w:t>
      </w:r>
      <w:r w:rsidRPr="00195E39">
        <w:rPr>
          <w:rFonts w:ascii="Verdana" w:hAnsi="Verdana"/>
          <w:sz w:val="20"/>
          <w:szCs w:val="20"/>
        </w:rPr>
        <w:t>reported a negative association between neuroticism and investment risk-taking behavior, with individuals high in neuroticism preferring safer investment options like fixed deposits and savings accounts.</w:t>
      </w:r>
    </w:p>
    <w:p w14:paraId="2E0CECA0" w14:textId="77777777" w:rsidR="00EA4C9F" w:rsidRPr="00195E39" w:rsidRDefault="00EA4C9F" w:rsidP="00EA4C9F">
      <w:pPr>
        <w:ind w:left="0" w:firstLine="709"/>
        <w:rPr>
          <w:rFonts w:ascii="Verdana" w:hAnsi="Verdana"/>
          <w:sz w:val="20"/>
          <w:szCs w:val="20"/>
        </w:rPr>
      </w:pPr>
    </w:p>
    <w:p w14:paraId="7BD2515F" w14:textId="26D312FA" w:rsidR="007E1F8A" w:rsidRPr="00515DD2" w:rsidRDefault="007E1F8A" w:rsidP="00EA4C9F">
      <w:pPr>
        <w:pStyle w:val="ListParagraph"/>
        <w:numPr>
          <w:ilvl w:val="1"/>
          <w:numId w:val="39"/>
        </w:numPr>
        <w:ind w:hanging="720"/>
        <w:jc w:val="left"/>
        <w:rPr>
          <w:rFonts w:ascii="Verdana" w:hAnsi="Verdana"/>
          <w:b/>
          <w:sz w:val="22"/>
          <w:szCs w:val="22"/>
        </w:rPr>
      </w:pPr>
      <w:r w:rsidRPr="00515DD2">
        <w:rPr>
          <w:rFonts w:ascii="Verdana" w:hAnsi="Verdana"/>
          <w:b/>
          <w:sz w:val="22"/>
          <w:szCs w:val="22"/>
        </w:rPr>
        <w:t>Empirical Studies</w:t>
      </w:r>
    </w:p>
    <w:p w14:paraId="754FA448" w14:textId="77777777" w:rsidR="00EA4C9F" w:rsidRDefault="00EA4C9F" w:rsidP="00EA4C9F">
      <w:pPr>
        <w:ind w:left="0" w:firstLine="720"/>
        <w:rPr>
          <w:rFonts w:ascii="Verdana" w:hAnsi="Verdana"/>
          <w:sz w:val="20"/>
          <w:szCs w:val="20"/>
        </w:rPr>
      </w:pPr>
    </w:p>
    <w:p w14:paraId="289E99C8" w14:textId="08876C33" w:rsidR="00EA4C9F" w:rsidRDefault="007E1F8A" w:rsidP="00A60A82">
      <w:pPr>
        <w:ind w:left="0" w:firstLine="720"/>
        <w:rPr>
          <w:rFonts w:ascii="Verdana" w:hAnsi="Verdana"/>
          <w:sz w:val="20"/>
          <w:szCs w:val="20"/>
        </w:rPr>
      </w:pPr>
      <w:r w:rsidRPr="00195E39">
        <w:rPr>
          <w:rFonts w:ascii="Verdana" w:hAnsi="Verdana"/>
          <w:sz w:val="20"/>
          <w:szCs w:val="20"/>
        </w:rPr>
        <w:t>In their study,</w:t>
      </w:r>
      <w:r w:rsidR="00970865">
        <w:rPr>
          <w:rFonts w:ascii="Verdana" w:hAnsi="Verdana"/>
          <w:sz w:val="20"/>
          <w:szCs w:val="20"/>
        </w:rPr>
        <w:t xml:space="preserve"> </w:t>
      </w:r>
      <w:hyperlink w:anchor="_ENREF_62" w:tooltip="Shah, 2020 #45"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AuthorYear="1"&gt;&lt;Author&gt;Shah&lt;/Author&gt;&lt;Year&gt;2020&lt;/Year&gt;&lt;RecNum&gt;45&lt;/RecNum&gt;&lt;DisplayText&gt;Shah, Khalid, Khan, Arif, and Khan (2020)&lt;/DisplayText&gt;&lt;record&gt;&lt;rec-number&gt;45&lt;/rec-number&gt;&lt;foreign-keys&gt;&lt;key app="EN" db-id="v5ve2td2jxzxrxee0pdpwrv99fpre2frs20r" timestamp="1703961448"&gt;45&lt;/key&gt;&lt;/foreign-keys&gt;&lt;ref-type name="Journal Article"&gt;17&lt;/ref-type&gt;&lt;contributors&gt;&lt;authors&gt;&lt;author&gt;Shah, Naveed Hussain&lt;/author&gt;&lt;author&gt;Khalid, Waqar&lt;/author&gt;&lt;author&gt;Khan, Saifullah&lt;/author&gt;&lt;author&gt;Arif, Muhammad&lt;/author&gt;&lt;author&gt;Khan, Muhammad Asad&lt;/author&gt;&lt;/authors&gt;&lt;/contributors&gt;&lt;titles&gt;&lt;title&gt;An empirical analysis of financial risk tolerance and demographic factors of business graduates in Pakistan&lt;/title&gt;&lt;secondary-title&gt;International Journal of Economics and Financial Issues&lt;/secondary-title&gt;&lt;/titles&gt;&lt;periodical&gt;&lt;full-title&gt;International Journal of Economics and Financial Issues&lt;/full-title&gt;&lt;/periodical&gt;&lt;pages&gt;220-234&lt;/pages&gt;&lt;volume&gt;10&lt;/volume&gt;&lt;number&gt;4&lt;/number&gt;&lt;dates&gt;&lt;year&gt;2020&lt;/year&gt;&lt;/dates&gt;&lt;urls&gt;&lt;/urls&gt;&lt;electronic-resource-num&gt;https://doi.org/10.32479/ijefi.9365&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Shah, Khalid, Khan, Arif, and Khan (2020)</w:t>
        </w:r>
        <w:r w:rsidR="004372FE">
          <w:rPr>
            <w:rFonts w:ascii="Verdana" w:hAnsi="Verdana"/>
            <w:sz w:val="20"/>
            <w:szCs w:val="20"/>
          </w:rPr>
          <w:fldChar w:fldCharType="end"/>
        </w:r>
      </w:hyperlink>
      <w:r w:rsidR="00970865">
        <w:rPr>
          <w:rFonts w:ascii="Verdana" w:hAnsi="Verdana"/>
          <w:sz w:val="20"/>
          <w:szCs w:val="20"/>
        </w:rPr>
        <w:t xml:space="preserve"> </w:t>
      </w:r>
      <w:r w:rsidRPr="00195E39">
        <w:rPr>
          <w:rFonts w:ascii="Verdana" w:hAnsi="Verdana"/>
          <w:sz w:val="20"/>
          <w:szCs w:val="20"/>
        </w:rPr>
        <w:t>examined the impact of demographic factors on financial risk tolerance among Pakistani business graduates. Using a survey-based approach, they found that age, income, and education level were significantly associated with risk tolerance, with older individuals, those with higher income and education levels exhibiting lower levels of risk tolerance.</w:t>
      </w:r>
    </w:p>
    <w:p w14:paraId="7483C544" w14:textId="77777777" w:rsidR="00EA4C9F" w:rsidRDefault="00EA4C9F" w:rsidP="00EA4C9F">
      <w:pPr>
        <w:ind w:left="0" w:firstLine="720"/>
        <w:rPr>
          <w:rFonts w:ascii="Verdana" w:hAnsi="Verdana"/>
          <w:sz w:val="20"/>
          <w:szCs w:val="20"/>
        </w:rPr>
      </w:pPr>
    </w:p>
    <w:p w14:paraId="790123B6" w14:textId="3929C2AC" w:rsidR="00EA4C9F" w:rsidRDefault="00000000" w:rsidP="00A60A82">
      <w:pPr>
        <w:ind w:left="0" w:firstLine="720"/>
        <w:rPr>
          <w:rFonts w:ascii="Verdana" w:hAnsi="Verdana"/>
          <w:sz w:val="20"/>
          <w:szCs w:val="20"/>
        </w:rPr>
      </w:pPr>
      <w:hyperlink w:anchor="_ENREF_63" w:tooltip="Shusha, 2017 #46"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AuthorYear="1"&gt;&lt;Author&gt;Shusha&lt;/Author&gt;&lt;Year&gt;2017&lt;/Year&gt;&lt;RecNum&gt;46&lt;/RecNum&gt;&lt;DisplayText&gt;Shusha (2017)&lt;/DisplayText&gt;&lt;record&gt;&lt;rec-number&gt;46&lt;/rec-number&gt;&lt;foreign-keys&gt;&lt;key app="EN" db-id="v5ve2td2jxzxrxee0pdpwrv99fpre2frs20r" timestamp="1703961539"&gt;46&lt;/key&gt;&lt;/foreign-keys&gt;&lt;ref-type name="Journal Article"&gt;17&lt;/ref-type&gt;&lt;contributors&gt;&lt;authors&gt;&lt;author&gt;Shusha, Amir Ali&lt;/author&gt;&lt;/authors&gt;&lt;/contributors&gt;&lt;titles&gt;&lt;title&gt;Does financial literacy moderate the relationship among demographic characteristics and financial risk tolerance? Evidence from Egypt&lt;/title&gt;&lt;secondary-title&gt;Australasian Accounting, Business and Finance Journal&lt;/secondary-title&gt;&lt;/titles&gt;&lt;periodical&gt;&lt;full-title&gt;Australasian Accounting, Business and Finance Journal&lt;/full-title&gt;&lt;/periodical&gt;&lt;pages&gt;67-86&lt;/pages&gt;&lt;volume&gt;11&lt;/volume&gt;&lt;number&gt;3&lt;/number&gt;&lt;dates&gt;&lt;year&gt;2017&lt;/year&gt;&lt;/dates&gt;&lt;isbn&gt;1834-2019&lt;/isbn&gt;&lt;urls&gt;&lt;/urls&gt;&lt;electronic-resource-num&gt;https://doi.org/10.14453/aabfj.v11i3.6&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Shusha (2017)</w:t>
        </w:r>
        <w:r w:rsidR="004372FE">
          <w:rPr>
            <w:rFonts w:ascii="Verdana" w:hAnsi="Verdana"/>
            <w:sz w:val="20"/>
            <w:szCs w:val="20"/>
          </w:rPr>
          <w:fldChar w:fldCharType="end"/>
        </w:r>
      </w:hyperlink>
      <w:r w:rsidR="00F66162">
        <w:rPr>
          <w:rFonts w:ascii="Verdana" w:hAnsi="Verdana"/>
          <w:sz w:val="20"/>
          <w:szCs w:val="20"/>
        </w:rPr>
        <w:t xml:space="preserve"> </w:t>
      </w:r>
      <w:r w:rsidR="007E1F8A" w:rsidRPr="00195E39">
        <w:rPr>
          <w:rFonts w:ascii="Verdana" w:hAnsi="Verdana"/>
          <w:sz w:val="20"/>
          <w:szCs w:val="20"/>
        </w:rPr>
        <w:t xml:space="preserve">examined the role of financial literacy in the relationship between demographic characteristics and risk tolerance. They found that financial literacy partially mediated the relationship between age, education level, and risk tolerance among Korean adults. Another study by </w:t>
      </w:r>
      <w:hyperlink w:anchor="_ENREF_36" w:tooltip="Kalabalik, 2018 #47"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AuthorYear="1"&gt;&lt;Author&gt;Kalabalik&lt;/Author&gt;&lt;Year&gt;2018&lt;/Year&gt;&lt;RecNum&gt;47&lt;/RecNum&gt;&lt;DisplayText&gt;Kalabalik and Aren (2018)&lt;/DisplayText&gt;&lt;record&gt;&lt;rec-number&gt;47&lt;/rec-number&gt;&lt;foreign-keys&gt;&lt;key app="EN" db-id="v5ve2td2jxzxrxee0pdpwrv99fpre2frs20r" timestamp="1703961630"&gt;47&lt;/key&gt;&lt;/foreign-keys&gt;&lt;ref-type name="Conference Proceedings"&gt;10&lt;/ref-type&gt;&lt;contributors&gt;&lt;authors&gt;&lt;author&gt;Kalabalik, Yunus&lt;/author&gt;&lt;author&gt;Aren, S&lt;/author&gt;&lt;/authors&gt;&lt;/contributors&gt;&lt;titles&gt;&lt;title&gt;The effects of demographic factors on the relationship between personality traits and financial Risk taking&lt;/title&gt;&lt;secondary-title&gt;Spring International Congress of Management, Economy and Policy, Istanbul, Turkiye&lt;/secondary-title&gt;&lt;/titles&gt;&lt;pages&gt;256-267&lt;/pages&gt;&lt;dates&gt;&lt;year&gt;2018&lt;/year&gt;&lt;/dates&gt;&lt;urls&gt;&lt;/urls&gt;&lt;/record&gt;&lt;/Cite&gt;&lt;/EndNote&gt;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Kalabalik and Aren (2018)</w:t>
        </w:r>
        <w:r w:rsidR="004372FE">
          <w:rPr>
            <w:rFonts w:ascii="Verdana" w:hAnsi="Verdana"/>
            <w:sz w:val="20"/>
            <w:szCs w:val="20"/>
          </w:rPr>
          <w:fldChar w:fldCharType="end"/>
        </w:r>
      </w:hyperlink>
      <w:r w:rsidR="00A152FE">
        <w:rPr>
          <w:rFonts w:ascii="Verdana" w:hAnsi="Verdana"/>
          <w:sz w:val="20"/>
          <w:szCs w:val="20"/>
        </w:rPr>
        <w:t xml:space="preserve"> </w:t>
      </w:r>
      <w:r w:rsidR="007E1F8A" w:rsidRPr="00195E39">
        <w:rPr>
          <w:rFonts w:ascii="Verdana" w:hAnsi="Verdana"/>
          <w:sz w:val="20"/>
          <w:szCs w:val="20"/>
        </w:rPr>
        <w:t xml:space="preserve">investigated the relationship between personality traits and financial risk-taking among Turky’s investors. Using a sample of professional investors, they found that individuals who were more open to experience and less agreeable tended to exhibit higher levels of financial risk-taking. A study by </w:t>
      </w:r>
      <w:hyperlink w:anchor="_ENREF_47" w:tooltip="Norvilitis, 2006 #48"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AuthorYear="1"&gt;&lt;Author&gt;Norvilitis&lt;/Author&gt;&lt;Year&gt;2006&lt;/Year&gt;&lt;RecNum&gt;48&lt;/RecNum&gt;&lt;DisplayText&gt;Norvilitis et al. (2006)&lt;/DisplayText&gt;&lt;record&gt;&lt;rec-number&gt;48&lt;/rec-number&gt;&lt;foreign-keys&gt;&lt;key app="EN" db-id="v5ve2td2jxzxrxee0pdpwrv99fpre2frs20r" timestamp="1703961681"&gt;48&lt;/key&gt;&lt;/foreign-keys&gt;&lt;ref-type name="Journal Article"&gt;17&lt;/ref-type&gt;&lt;contributors&gt;&lt;authors&gt;&lt;author&gt;Norvilitis, Jill M&lt;/author&gt;&lt;author&gt;Merwin, Michelle M&lt;/author&gt;&lt;author&gt;Osberg, Timothy M&lt;/author&gt;&lt;author&gt;Roehling, Patricia V&lt;/author&gt;&lt;author&gt;Young, Paul&lt;/author&gt;&lt;author&gt;Kamas, Michele M&lt;/author&gt;&lt;/authors&gt;&lt;/contributors&gt;&lt;titles&gt;&lt;title&gt;Personality factors, money attitudes, financial knowledge, and credit</w:instrText>
        </w:r>
        <w:r w:rsidR="004372FE">
          <w:rPr>
            <w:rFonts w:ascii="Cambria Math" w:hAnsi="Cambria Math" w:cs="Cambria Math"/>
            <w:sz w:val="20"/>
            <w:szCs w:val="20"/>
          </w:rPr>
          <w:instrText>‐</w:instrText>
        </w:r>
        <w:r w:rsidR="004372FE">
          <w:rPr>
            <w:rFonts w:ascii="Verdana" w:hAnsi="Verdana"/>
            <w:sz w:val="20"/>
            <w:szCs w:val="20"/>
          </w:rPr>
          <w:instrText>card debt in college students 1&lt;/title&gt;&lt;secondary-title&gt;Journal of applied social psychology&lt;/secondary-title&gt;&lt;/titles&gt;&lt;periodical&gt;&lt;full-title&gt;Journal of applied social psychology&lt;/full-title&gt;&lt;/periodical&gt;&lt;pages&gt;1395-1413&lt;/pages&gt;&lt;volume&gt;36&lt;/volume&gt;&lt;number&gt;6&lt;/number&gt;&lt;dates&gt;&lt;year&gt;2006&lt;/year&gt;&lt;/dates&gt;&lt;isbn&gt;0021-9029&lt;/isbn&gt;&lt;urls&gt;&lt;/urls&gt;&lt;electronic-resource-num&gt;https://doi.org/10.1111/j.0021-9029.2006.00065.x&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Norvilitis et al. (2006)</w:t>
        </w:r>
        <w:r w:rsidR="004372FE">
          <w:rPr>
            <w:rFonts w:ascii="Verdana" w:hAnsi="Verdana"/>
            <w:sz w:val="20"/>
            <w:szCs w:val="20"/>
          </w:rPr>
          <w:fldChar w:fldCharType="end"/>
        </w:r>
      </w:hyperlink>
      <w:r w:rsidR="00D471B1">
        <w:rPr>
          <w:rFonts w:ascii="Verdana" w:hAnsi="Verdana"/>
          <w:sz w:val="20"/>
          <w:szCs w:val="20"/>
        </w:rPr>
        <w:t xml:space="preserve"> </w:t>
      </w:r>
      <w:r w:rsidR="007E1F8A" w:rsidRPr="00195E39">
        <w:rPr>
          <w:rFonts w:ascii="Verdana" w:hAnsi="Verdana"/>
          <w:sz w:val="20"/>
          <w:szCs w:val="20"/>
        </w:rPr>
        <w:t xml:space="preserve">examined the relationship between financial risk tolerance and several demographic and psychological factors among college students in the US. They found that age, gender, and sensation-seeking tendencies were significant predictors of financial risk tolerance among college students. </w:t>
      </w:r>
      <w:hyperlink w:anchor="_ENREF_39" w:tooltip="Lee, 2019 #49"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AuthorYear="1"&gt;&lt;Author&gt;Lee&lt;/Author&gt;&lt;Year&gt;2019&lt;/Year&gt;&lt;RecNum&gt;49&lt;/RecNum&gt;&lt;DisplayText&gt;Lee, Kim, Lee, and Kim (2019)&lt;/DisplayText&gt;&lt;record&gt;&lt;rec-number&gt;49&lt;/rec-number&gt;&lt;foreign-keys&gt;&lt;key app="EN" db-id="v5ve2td2jxzxrxee0pdpwrv99fpre2frs20r" timestamp="1703962093"&gt;49&lt;/key&gt;&lt;/foreign-keys&gt;&lt;ref-type name="Journal Article"&gt;17&lt;/ref-type&gt;&lt;contributors&gt;&lt;authors&gt;&lt;author&gt;Lee, Sun-Mi&lt;/author&gt;&lt;author&gt;Kim, Han-Na&lt;/author&gt;&lt;author&gt;Lee, Jung-Ha&lt;/author&gt;&lt;author&gt;Kim, Jin-Bom&lt;/author&gt;&lt;/authors&gt;&lt;/contributors&gt;&lt;titles&gt;&lt;title&gt;Association between maternal and child oral health and dental caries in Korea&lt;/title&gt;&lt;secondary-title&gt;Journal of Public Health&lt;/secondary-title&gt;&lt;/titles&gt;&lt;periodical&gt;&lt;full-title&gt;Journal of Public Health&lt;/full-title&gt;&lt;/periodical&gt;&lt;pages&gt;219-227&lt;/pages&gt;&lt;volume&gt;27&lt;/volume&gt;&lt;number&gt;6&lt;/number&gt;&lt;dates&gt;&lt;year&gt;2019&lt;/year&gt;&lt;/dates&gt;&lt;isbn&gt;2198-1833&lt;/isbn&gt;&lt;urls&gt;&lt;/urls&gt;&lt;electronic-resource-num&gt;https://doi.org/10.1007/s10389-018-0936-2&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Lee, Kim, Lee, and Kim (2019)</w:t>
        </w:r>
        <w:r w:rsidR="004372FE">
          <w:rPr>
            <w:rFonts w:ascii="Verdana" w:hAnsi="Verdana"/>
            <w:sz w:val="20"/>
            <w:szCs w:val="20"/>
          </w:rPr>
          <w:fldChar w:fldCharType="end"/>
        </w:r>
      </w:hyperlink>
      <w:r w:rsidR="00F21B1E">
        <w:rPr>
          <w:rFonts w:ascii="Verdana" w:hAnsi="Verdana"/>
          <w:sz w:val="20"/>
          <w:szCs w:val="20"/>
        </w:rPr>
        <w:t xml:space="preserve"> </w:t>
      </w:r>
      <w:r w:rsidR="007E1F8A" w:rsidRPr="00195E39">
        <w:rPr>
          <w:rFonts w:ascii="Verdana" w:hAnsi="Verdana"/>
          <w:sz w:val="20"/>
          <w:szCs w:val="20"/>
        </w:rPr>
        <w:t>explored the impact of demographic and psychological factors on investment behavior among Korean adults. They found that age, income, education level, financial literacy, and extraversion were significant predictors of investment behavior, with older, more highly educated individuals, those with higher income, higher levels of financial literacy, and those who were more extraverted exhibiting higher levels of investment behavior.</w:t>
      </w:r>
    </w:p>
    <w:p w14:paraId="67EE4F23" w14:textId="77777777" w:rsidR="00EA4C9F" w:rsidRDefault="00EA4C9F" w:rsidP="00EA4C9F">
      <w:pPr>
        <w:ind w:left="0" w:firstLine="720"/>
        <w:rPr>
          <w:rFonts w:ascii="Verdana" w:hAnsi="Verdana"/>
          <w:sz w:val="20"/>
          <w:szCs w:val="20"/>
        </w:rPr>
      </w:pPr>
    </w:p>
    <w:p w14:paraId="2D497097" w14:textId="7639E608" w:rsidR="00EA4C9F" w:rsidRDefault="007E1F8A" w:rsidP="00A60A82">
      <w:pPr>
        <w:ind w:left="0" w:firstLine="720"/>
        <w:rPr>
          <w:rFonts w:ascii="Verdana" w:hAnsi="Verdana"/>
          <w:sz w:val="20"/>
          <w:szCs w:val="20"/>
        </w:rPr>
      </w:pPr>
      <w:r w:rsidRPr="00195E39">
        <w:rPr>
          <w:rFonts w:ascii="Verdana" w:hAnsi="Verdana"/>
          <w:sz w:val="20"/>
          <w:szCs w:val="20"/>
        </w:rPr>
        <w:t xml:space="preserve">In their study, </w:t>
      </w:r>
      <w:hyperlink w:anchor="_ENREF_54" w:tooltip="Rabbani, 2019 #50"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AuthorYear="1"&gt;&lt;Author&gt;Rabbani&lt;/Author&gt;&lt;Year&gt;2019&lt;/Year&gt;&lt;RecNum&gt;50&lt;/RecNum&gt;&lt;DisplayText&gt;Rabbani, Yao, and Wang (2019)&lt;/DisplayText&gt;&lt;record&gt;&lt;rec-number&gt;50&lt;/rec-number&gt;&lt;foreign-keys&gt;&lt;key app="EN" db-id="v5ve2td2jxzxrxee0pdpwrv99fpre2frs20r" timestamp="1703962190"&gt;50&lt;/key&gt;&lt;/foreign-keys&gt;&lt;ref-type name="Journal Article"&gt;17&lt;/ref-type&gt;&lt;contributors&gt;&lt;authors&gt;&lt;author&gt;Rabbani, Abed G&lt;/author&gt;&lt;author&gt;Yao, Zheying&lt;/author&gt;&lt;author&gt;Wang, Christina&lt;/author&gt;&lt;/authors&gt;&lt;/contributors&gt;&lt;titles&gt;&lt;title&gt;Does personality predict financial risk tolerance of pre-retiree baby boomers?&lt;/title&gt;&lt;secondary-title&gt;Journal of Behavioral and experimental finance&lt;/secondary-title&gt;&lt;/titles&gt;&lt;periodical&gt;&lt;full-title&gt;Journal of Behavioral and experimental finance&lt;/full-title&gt;&lt;/periodical&gt;&lt;pages&gt;124-132&lt;/pages&gt;&lt;volume&gt;23&lt;/volume&gt;&lt;number&gt;9&lt;/number&gt;&lt;dates&gt;&lt;year&gt;2019&lt;/year&gt;&lt;/dates&gt;&lt;isbn&gt;2214-6350&lt;/isbn&gt;&lt;urls&gt;&lt;/urls&gt;&lt;electronic-resource-num&gt;https://doi.org/10.1016/j.jbef.2019.06.001&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Rabbani, Yao, and Wang (2019)</w:t>
        </w:r>
        <w:r w:rsidR="004372FE">
          <w:rPr>
            <w:rFonts w:ascii="Verdana" w:hAnsi="Verdana"/>
            <w:sz w:val="20"/>
            <w:szCs w:val="20"/>
          </w:rPr>
          <w:fldChar w:fldCharType="end"/>
        </w:r>
      </w:hyperlink>
      <w:r w:rsidR="00F21B1E">
        <w:rPr>
          <w:rFonts w:ascii="Verdana" w:hAnsi="Verdana"/>
          <w:sz w:val="20"/>
          <w:szCs w:val="20"/>
        </w:rPr>
        <w:t xml:space="preserve"> </w:t>
      </w:r>
      <w:r w:rsidRPr="00195E39">
        <w:rPr>
          <w:rFonts w:ascii="Verdana" w:hAnsi="Verdana"/>
          <w:sz w:val="20"/>
          <w:szCs w:val="20"/>
        </w:rPr>
        <w:t>aimed to assess whether the risk tolerance of pre-retiree baby boomers, aged 54–61 in America in 2019, could be predicted by their personality traits. The results revealed a significant association between risk tolerance and the Big Five Personality Traits. More specifically, individuals with higher levels of extraversion, emotional stability, and openness to experience tended to exhibit increased risk tolerance. Conversely, those demonstrating higher degrees of agreeableness and conscientiousness were associated with reduced risk tolerance among pre-retiree baby boomers.</w:t>
      </w:r>
    </w:p>
    <w:p w14:paraId="0F241B7F" w14:textId="77777777" w:rsidR="00EA4C9F" w:rsidRDefault="00EA4C9F" w:rsidP="00EA4C9F">
      <w:pPr>
        <w:ind w:left="0" w:firstLine="720"/>
        <w:rPr>
          <w:rFonts w:ascii="Verdana" w:hAnsi="Verdana"/>
          <w:sz w:val="20"/>
          <w:szCs w:val="20"/>
        </w:rPr>
      </w:pPr>
    </w:p>
    <w:p w14:paraId="459914E1" w14:textId="75711AF5" w:rsidR="007E1F8A" w:rsidRDefault="007E1F8A" w:rsidP="00EA4C9F">
      <w:pPr>
        <w:ind w:left="0" w:firstLine="720"/>
        <w:rPr>
          <w:rFonts w:ascii="Verdana" w:hAnsi="Verdana"/>
          <w:color w:val="374151"/>
          <w:sz w:val="20"/>
          <w:szCs w:val="20"/>
          <w:shd w:val="clear" w:color="auto" w:fill="F7F7F8"/>
        </w:rPr>
      </w:pPr>
      <w:r w:rsidRPr="00195E39">
        <w:rPr>
          <w:rFonts w:ascii="Verdana" w:hAnsi="Verdana"/>
          <w:sz w:val="20"/>
          <w:szCs w:val="20"/>
        </w:rPr>
        <w:t>Overall, these studies suggest that demographic characteristics and personality traits can play important roles in shaping individuals' financial risk tolerance and investment behavior. While age, income, and education level are consistently identified as significant predictors of risk tolerance, the role of personality traits in shaping risk tolerance and investment behavior appears to be more complex, with different traits showing different associations with these outcomes depending on the context and population studied</w:t>
      </w:r>
      <w:r w:rsidRPr="00195E39">
        <w:rPr>
          <w:rFonts w:ascii="Verdana" w:hAnsi="Verdana"/>
          <w:color w:val="374151"/>
          <w:sz w:val="20"/>
          <w:szCs w:val="20"/>
          <w:shd w:val="clear" w:color="auto" w:fill="F7F7F8"/>
        </w:rPr>
        <w:t>.</w:t>
      </w:r>
    </w:p>
    <w:p w14:paraId="5EDA567F" w14:textId="77777777" w:rsidR="00EA4C9F" w:rsidRPr="00EA4C9F" w:rsidRDefault="00EA4C9F" w:rsidP="00EA4C9F">
      <w:pPr>
        <w:ind w:left="0" w:firstLine="720"/>
        <w:rPr>
          <w:rFonts w:ascii="Verdana" w:hAnsi="Verdana"/>
          <w:sz w:val="20"/>
          <w:szCs w:val="20"/>
        </w:rPr>
      </w:pPr>
    </w:p>
    <w:p w14:paraId="1CC2DE7F" w14:textId="722BD876" w:rsidR="007E1F8A" w:rsidRPr="00515DD2" w:rsidRDefault="007E1F8A" w:rsidP="00EA4C9F">
      <w:pPr>
        <w:pStyle w:val="ListParagraph"/>
        <w:numPr>
          <w:ilvl w:val="1"/>
          <w:numId w:val="39"/>
        </w:numPr>
        <w:ind w:hanging="720"/>
        <w:jc w:val="left"/>
        <w:rPr>
          <w:rFonts w:ascii="Verdana" w:hAnsi="Verdana"/>
          <w:b/>
          <w:sz w:val="22"/>
          <w:szCs w:val="22"/>
        </w:rPr>
      </w:pPr>
      <w:r w:rsidRPr="00515DD2">
        <w:rPr>
          <w:rFonts w:ascii="Verdana" w:hAnsi="Verdana"/>
          <w:b/>
          <w:sz w:val="22"/>
          <w:szCs w:val="22"/>
        </w:rPr>
        <w:t>Literature Gap</w:t>
      </w:r>
    </w:p>
    <w:p w14:paraId="1088FBAD" w14:textId="77777777" w:rsidR="00EA4C9F" w:rsidRDefault="00EA4C9F" w:rsidP="00EA4C9F">
      <w:pPr>
        <w:ind w:left="0" w:firstLine="720"/>
        <w:rPr>
          <w:rFonts w:ascii="Verdana" w:hAnsi="Verdana"/>
          <w:sz w:val="20"/>
          <w:szCs w:val="20"/>
        </w:rPr>
      </w:pPr>
    </w:p>
    <w:p w14:paraId="7ADE710B" w14:textId="1F0EA97E" w:rsidR="007E1F8A" w:rsidRPr="00195E39" w:rsidRDefault="007E1F8A" w:rsidP="00EA4C9F">
      <w:pPr>
        <w:ind w:left="0" w:firstLine="720"/>
        <w:rPr>
          <w:rFonts w:ascii="Verdana" w:hAnsi="Verdana"/>
          <w:sz w:val="20"/>
          <w:szCs w:val="20"/>
        </w:rPr>
      </w:pPr>
      <w:r w:rsidRPr="00195E39">
        <w:rPr>
          <w:rFonts w:ascii="Verdana" w:hAnsi="Verdana"/>
          <w:sz w:val="20"/>
          <w:szCs w:val="20"/>
        </w:rPr>
        <w:t>The literature review identifies a research gap in understanding the interplay between psychological and demographic factors in shaping financial risk tolerance and investment behavior. While existing studies focus on specific cultural contexts, there is a need for broader research across cultures. Demographic factors like age, gender, education, income, and marital status, alongside personality traits, require more comprehensive exploration. Longitudinal studies are advocated to uncover causal relationships over time. Additionally, there's a call for research on individual differences in risk perception, cognitive biases, and decision-making processes impacting financial behavior. This synthesis emphasizes a multifaceted research agenda to enhance our understanding across diverse cultural and individual contexts.</w:t>
      </w:r>
    </w:p>
    <w:p w14:paraId="42A3BB11" w14:textId="77777777" w:rsidR="007E1F8A" w:rsidRPr="00195E39" w:rsidRDefault="007E1F8A" w:rsidP="007E1F8A">
      <w:pPr>
        <w:rPr>
          <w:rFonts w:ascii="Verdana" w:hAnsi="Verdana"/>
          <w:color w:val="374151"/>
          <w:sz w:val="20"/>
          <w:szCs w:val="20"/>
          <w:shd w:val="clear" w:color="auto" w:fill="F7F7F8"/>
        </w:rPr>
      </w:pPr>
    </w:p>
    <w:p w14:paraId="1E4C4F9F" w14:textId="77777777" w:rsidR="007E1F8A" w:rsidRPr="00552060" w:rsidRDefault="007E1F8A" w:rsidP="00552060">
      <w:pPr>
        <w:pStyle w:val="ListParagraph"/>
        <w:numPr>
          <w:ilvl w:val="0"/>
          <w:numId w:val="39"/>
        </w:numPr>
        <w:ind w:hanging="720"/>
        <w:jc w:val="left"/>
        <w:rPr>
          <w:rFonts w:ascii="Verdana" w:hAnsi="Verdana"/>
          <w:b/>
          <w:sz w:val="22"/>
          <w:szCs w:val="22"/>
        </w:rPr>
      </w:pPr>
      <w:r w:rsidRPr="00552060">
        <w:rPr>
          <w:rFonts w:ascii="Verdana" w:hAnsi="Verdana"/>
          <w:b/>
          <w:sz w:val="22"/>
          <w:szCs w:val="22"/>
        </w:rPr>
        <w:t>Methodology and Materials</w:t>
      </w:r>
    </w:p>
    <w:p w14:paraId="7097556F" w14:textId="2BC3BB89" w:rsidR="007E1F8A" w:rsidRPr="00552060" w:rsidRDefault="007E1F8A" w:rsidP="00552060">
      <w:pPr>
        <w:pStyle w:val="ListParagraph"/>
        <w:numPr>
          <w:ilvl w:val="1"/>
          <w:numId w:val="39"/>
        </w:numPr>
        <w:ind w:hanging="720"/>
        <w:rPr>
          <w:rFonts w:ascii="Verdana" w:hAnsi="Verdana"/>
          <w:b/>
          <w:sz w:val="22"/>
          <w:szCs w:val="22"/>
        </w:rPr>
      </w:pPr>
      <w:r w:rsidRPr="00552060">
        <w:rPr>
          <w:rFonts w:ascii="Verdana" w:hAnsi="Verdana"/>
          <w:b/>
          <w:sz w:val="22"/>
          <w:szCs w:val="22"/>
        </w:rPr>
        <w:t xml:space="preserve">Research Design and Approaches </w:t>
      </w:r>
    </w:p>
    <w:p w14:paraId="18F15DB1" w14:textId="77777777" w:rsidR="00552060" w:rsidRDefault="00552060" w:rsidP="00552060">
      <w:pPr>
        <w:ind w:left="0" w:firstLine="720"/>
        <w:rPr>
          <w:rFonts w:ascii="Verdana" w:hAnsi="Verdana"/>
          <w:sz w:val="20"/>
          <w:szCs w:val="20"/>
        </w:rPr>
      </w:pPr>
    </w:p>
    <w:p w14:paraId="78B578E2" w14:textId="79E673B2" w:rsidR="007E1F8A" w:rsidRDefault="007E1F8A" w:rsidP="00552060">
      <w:pPr>
        <w:ind w:left="0" w:firstLine="720"/>
        <w:rPr>
          <w:rFonts w:ascii="Verdana" w:hAnsi="Verdana"/>
          <w:sz w:val="20"/>
          <w:szCs w:val="20"/>
        </w:rPr>
      </w:pPr>
      <w:r w:rsidRPr="00195E39">
        <w:rPr>
          <w:rFonts w:ascii="Verdana" w:hAnsi="Verdana"/>
          <w:sz w:val="20"/>
          <w:szCs w:val="20"/>
        </w:rPr>
        <w:t xml:space="preserve">To explain the relationship between financial risk tolerances, personality dimensions, and demographic characteristics, explanatory research design was chosen as during this study. </w:t>
      </w:r>
    </w:p>
    <w:p w14:paraId="752DDC69" w14:textId="77777777" w:rsidR="00552060" w:rsidRPr="00195E39" w:rsidRDefault="00552060" w:rsidP="00552060">
      <w:pPr>
        <w:ind w:left="0" w:firstLine="720"/>
        <w:rPr>
          <w:rFonts w:ascii="Verdana" w:hAnsi="Verdana"/>
          <w:sz w:val="20"/>
          <w:szCs w:val="20"/>
        </w:rPr>
      </w:pPr>
    </w:p>
    <w:p w14:paraId="64EB7627" w14:textId="77777777" w:rsidR="007E1F8A" w:rsidRPr="00552060" w:rsidRDefault="007E1F8A" w:rsidP="00552060">
      <w:pPr>
        <w:pStyle w:val="ListParagraph"/>
        <w:numPr>
          <w:ilvl w:val="2"/>
          <w:numId w:val="39"/>
        </w:numPr>
        <w:ind w:left="709"/>
        <w:rPr>
          <w:rFonts w:ascii="Verdana" w:hAnsi="Verdana"/>
          <w:b/>
          <w:sz w:val="22"/>
          <w:szCs w:val="22"/>
        </w:rPr>
      </w:pPr>
      <w:r w:rsidRPr="00552060">
        <w:rPr>
          <w:rFonts w:ascii="Verdana" w:hAnsi="Verdana"/>
          <w:b/>
          <w:sz w:val="22"/>
          <w:szCs w:val="22"/>
        </w:rPr>
        <w:t>Population</w:t>
      </w:r>
    </w:p>
    <w:p w14:paraId="0FDE1478" w14:textId="77777777" w:rsidR="00552060" w:rsidRDefault="00552060" w:rsidP="00552060">
      <w:pPr>
        <w:ind w:left="0" w:firstLine="709"/>
        <w:rPr>
          <w:rFonts w:ascii="Verdana" w:hAnsi="Verdana"/>
          <w:sz w:val="20"/>
          <w:szCs w:val="20"/>
        </w:rPr>
      </w:pPr>
    </w:p>
    <w:p w14:paraId="3820A058" w14:textId="70087785" w:rsidR="007E1F8A" w:rsidRPr="00195E39" w:rsidRDefault="007E1F8A" w:rsidP="00552060">
      <w:pPr>
        <w:ind w:left="0" w:firstLine="709"/>
        <w:rPr>
          <w:rFonts w:ascii="Verdana" w:hAnsi="Verdana"/>
          <w:sz w:val="20"/>
          <w:szCs w:val="20"/>
        </w:rPr>
      </w:pPr>
      <w:r w:rsidRPr="00195E39">
        <w:rPr>
          <w:rFonts w:ascii="Verdana" w:hAnsi="Verdana"/>
          <w:sz w:val="20"/>
          <w:szCs w:val="20"/>
        </w:rPr>
        <w:t xml:space="preserve">In this study, the target population comprises all active individual investors in the real estate industry located solely in Lower Dir. There were 980 real estate individual investors </w:t>
      </w:r>
      <w:r w:rsidRPr="00195E39">
        <w:rPr>
          <w:rFonts w:ascii="Verdana" w:hAnsi="Verdana"/>
          <w:sz w:val="20"/>
          <w:szCs w:val="20"/>
        </w:rPr>
        <w:lastRenderedPageBreak/>
        <w:t xml:space="preserve">identified as the target population for this research, the numbers of real estate investors were investigated by the researcher through interviews with real estate marketing companies’ managers working in Lower Dir.  </w:t>
      </w:r>
    </w:p>
    <w:p w14:paraId="56B41234" w14:textId="77777777" w:rsidR="007E1F8A" w:rsidRPr="00195E39" w:rsidRDefault="007E1F8A" w:rsidP="007E1F8A">
      <w:pPr>
        <w:rPr>
          <w:rFonts w:ascii="Verdana" w:hAnsi="Verdana"/>
          <w:sz w:val="20"/>
          <w:szCs w:val="20"/>
        </w:rPr>
      </w:pPr>
      <w:r w:rsidRPr="00552060">
        <w:rPr>
          <w:rFonts w:ascii="Verdana" w:hAnsi="Verdana"/>
          <w:sz w:val="18"/>
          <w:szCs w:val="18"/>
        </w:rPr>
        <w:t xml:space="preserve">Source: (Topline marketing private limited, </w:t>
      </w:r>
      <w:proofErr w:type="spellStart"/>
      <w:r w:rsidRPr="00552060">
        <w:rPr>
          <w:rFonts w:ascii="Verdana" w:hAnsi="Verdana"/>
          <w:sz w:val="18"/>
          <w:szCs w:val="18"/>
        </w:rPr>
        <w:t>albait</w:t>
      </w:r>
      <w:proofErr w:type="spellEnd"/>
      <w:r w:rsidRPr="00552060">
        <w:rPr>
          <w:rFonts w:ascii="Verdana" w:hAnsi="Verdana"/>
          <w:sz w:val="18"/>
          <w:szCs w:val="18"/>
        </w:rPr>
        <w:t xml:space="preserve"> marketing and Leaf Marketing </w:t>
      </w:r>
      <w:proofErr w:type="spellStart"/>
      <w:r w:rsidRPr="00552060">
        <w:rPr>
          <w:rFonts w:ascii="Verdana" w:hAnsi="Verdana"/>
          <w:sz w:val="18"/>
          <w:szCs w:val="18"/>
        </w:rPr>
        <w:t>pvt</w:t>
      </w:r>
      <w:proofErr w:type="spellEnd"/>
      <w:r w:rsidRPr="00552060">
        <w:rPr>
          <w:rFonts w:ascii="Verdana" w:hAnsi="Verdana"/>
          <w:sz w:val="18"/>
          <w:szCs w:val="18"/>
        </w:rPr>
        <w:t xml:space="preserve"> ltd).</w:t>
      </w:r>
    </w:p>
    <w:p w14:paraId="552B449C" w14:textId="77777777" w:rsidR="007E1F8A" w:rsidRDefault="007E1F8A" w:rsidP="00552060">
      <w:pPr>
        <w:ind w:left="0" w:firstLine="720"/>
        <w:rPr>
          <w:rFonts w:ascii="Verdana" w:hAnsi="Verdana"/>
          <w:sz w:val="20"/>
          <w:szCs w:val="20"/>
        </w:rPr>
      </w:pPr>
      <w:r w:rsidRPr="00195E39">
        <w:rPr>
          <w:rFonts w:ascii="Verdana" w:hAnsi="Verdana"/>
          <w:sz w:val="20"/>
          <w:szCs w:val="20"/>
        </w:rPr>
        <w:t>Slovin's formula was used to determine the appropriate sample size (n) based on the known population size (N) and the acceptable margin of error (e). By using this formula, one can calculate the necessary sample size needed from the target population</w:t>
      </w:r>
    </w:p>
    <w:p w14:paraId="6E4E9A75" w14:textId="77777777" w:rsidR="00AB0A13" w:rsidRPr="00195E39" w:rsidRDefault="00AB0A13" w:rsidP="00552060">
      <w:pPr>
        <w:ind w:left="0" w:firstLine="720"/>
        <w:rPr>
          <w:rFonts w:ascii="Verdana" w:hAnsi="Verdana"/>
          <w:sz w:val="20"/>
          <w:szCs w:val="20"/>
        </w:rPr>
      </w:pPr>
    </w:p>
    <w:p w14:paraId="77F3E7D7" w14:textId="67D23186" w:rsidR="007E1F8A" w:rsidRPr="00195E39" w:rsidRDefault="007E1F8A" w:rsidP="00552060">
      <w:pPr>
        <w:jc w:val="left"/>
        <w:rPr>
          <w:rFonts w:ascii="Verdana" w:hAnsi="Verdana"/>
          <w:sz w:val="20"/>
          <w:szCs w:val="20"/>
        </w:rPr>
      </w:pPr>
      <m:oMath>
        <m:r>
          <m:rPr>
            <m:sty m:val="p"/>
          </m:rPr>
          <w:rPr>
            <w:rFonts w:ascii="Cambria Math" w:hAnsi="Cambria Math"/>
            <w:sz w:val="20"/>
            <w:szCs w:val="20"/>
          </w:rPr>
          <m:t>(n) =</m:t>
        </m:r>
        <m:f>
          <m:fPr>
            <m:type m:val="skw"/>
            <m:ctrlPr>
              <w:rPr>
                <w:rFonts w:ascii="Cambria Math" w:hAnsi="Cambria Math"/>
                <w:i/>
                <w:sz w:val="20"/>
                <w:szCs w:val="20"/>
              </w:rPr>
            </m:ctrlPr>
          </m:fPr>
          <m:num>
            <m:r>
              <m:rPr>
                <m:sty m:val="p"/>
              </m:rPr>
              <w:rPr>
                <w:rFonts w:ascii="Cambria Math" w:hAnsi="Cambria Math"/>
                <w:sz w:val="20"/>
                <w:szCs w:val="20"/>
              </w:rPr>
              <m:t>N</m:t>
            </m:r>
          </m:num>
          <m:den>
            <m:r>
              <m:rPr>
                <m:sty m:val="p"/>
              </m:rPr>
              <w:rPr>
                <w:rFonts w:ascii="Cambria Math" w:hAnsi="Cambria Math"/>
                <w:sz w:val="20"/>
                <w:szCs w:val="20"/>
              </w:rPr>
              <m:t>1+N(e</m:t>
            </m:r>
            <m:r>
              <m:rPr>
                <m:sty m:val="p"/>
              </m:rPr>
              <w:rPr>
                <w:rFonts w:ascii="Cambria Math" w:hAnsi="Cambria Math"/>
                <w:sz w:val="20"/>
                <w:szCs w:val="20"/>
                <w:vertAlign w:val="superscript"/>
              </w:rPr>
              <m:t>2)</m:t>
            </m:r>
          </m:den>
        </m:f>
      </m:oMath>
      <w:r w:rsidR="00552060">
        <w:rPr>
          <w:rFonts w:ascii="Verdana" w:hAnsi="Verdana"/>
          <w:sz w:val="20"/>
          <w:szCs w:val="20"/>
        </w:rPr>
        <w:tab/>
      </w:r>
      <w:r w:rsidR="00552060">
        <w:rPr>
          <w:rFonts w:ascii="Verdana" w:hAnsi="Verdana"/>
          <w:sz w:val="20"/>
          <w:szCs w:val="20"/>
        </w:rPr>
        <w:tab/>
      </w:r>
      <w:r w:rsidR="00552060">
        <w:rPr>
          <w:rFonts w:ascii="Verdana" w:hAnsi="Verdana"/>
          <w:sz w:val="20"/>
          <w:szCs w:val="20"/>
        </w:rPr>
        <w:tab/>
      </w:r>
      <w:r w:rsidR="00552060">
        <w:rPr>
          <w:rFonts w:ascii="Verdana" w:hAnsi="Verdana"/>
          <w:sz w:val="20"/>
          <w:szCs w:val="20"/>
        </w:rPr>
        <w:tab/>
      </w:r>
      <w:r w:rsidR="00552060">
        <w:rPr>
          <w:rFonts w:ascii="Verdana" w:hAnsi="Verdana"/>
          <w:sz w:val="20"/>
          <w:szCs w:val="20"/>
        </w:rPr>
        <w:tab/>
      </w:r>
      <w:r w:rsidR="00552060">
        <w:rPr>
          <w:rFonts w:ascii="Verdana" w:hAnsi="Verdana"/>
          <w:sz w:val="20"/>
          <w:szCs w:val="20"/>
        </w:rPr>
        <w:tab/>
      </w:r>
      <w:r w:rsidR="00552060">
        <w:rPr>
          <w:rFonts w:ascii="Verdana" w:hAnsi="Verdana"/>
          <w:sz w:val="20"/>
          <w:szCs w:val="20"/>
        </w:rPr>
        <w:tab/>
      </w:r>
      <w:r w:rsidR="00552060">
        <w:rPr>
          <w:rFonts w:ascii="Verdana" w:hAnsi="Verdana"/>
          <w:sz w:val="20"/>
          <w:szCs w:val="20"/>
        </w:rPr>
        <w:tab/>
      </w:r>
      <w:r w:rsidR="00552060">
        <w:rPr>
          <w:rFonts w:ascii="Verdana" w:hAnsi="Verdana"/>
          <w:sz w:val="20"/>
          <w:szCs w:val="20"/>
        </w:rPr>
        <w:tab/>
      </w:r>
      <w:r w:rsidR="00552060">
        <w:rPr>
          <w:rFonts w:ascii="Verdana" w:hAnsi="Verdana"/>
          <w:sz w:val="20"/>
          <w:szCs w:val="20"/>
        </w:rPr>
        <w:tab/>
      </w:r>
      <w:r w:rsidRPr="00195E39">
        <w:rPr>
          <w:rFonts w:ascii="Verdana" w:hAnsi="Verdana"/>
          <w:sz w:val="20"/>
          <w:szCs w:val="20"/>
        </w:rPr>
        <w:t>(1)</w:t>
      </w:r>
    </w:p>
    <w:p w14:paraId="631214C5" w14:textId="77777777" w:rsidR="007E1F8A" w:rsidRPr="00C21D52" w:rsidRDefault="007E1F8A" w:rsidP="007E1F8A">
      <w:pPr>
        <w:ind w:left="-1440"/>
        <w:jc w:val="center"/>
        <w:rPr>
          <w:rFonts w:ascii="Verdana" w:hAnsi="Verdana"/>
          <w:sz w:val="20"/>
          <w:szCs w:val="20"/>
        </w:rPr>
      </w:pPr>
      <m:oMathPara>
        <m:oMathParaPr>
          <m:jc m:val="left"/>
        </m:oMathParaPr>
        <m:oMath>
          <m:r>
            <m:rPr>
              <m:sty m:val="p"/>
            </m:rPr>
            <w:rPr>
              <w:rFonts w:ascii="Cambria Math" w:hAnsi="Cambria Math"/>
              <w:sz w:val="20"/>
              <w:szCs w:val="20"/>
            </w:rPr>
            <m:t>(n) =</m:t>
          </m:r>
          <m:f>
            <m:fPr>
              <m:type m:val="skw"/>
              <m:ctrlPr>
                <w:rPr>
                  <w:rFonts w:ascii="Cambria Math" w:hAnsi="Cambria Math"/>
                  <w:i/>
                  <w:sz w:val="20"/>
                  <w:szCs w:val="20"/>
                </w:rPr>
              </m:ctrlPr>
            </m:fPr>
            <m:num>
              <m:r>
                <m:rPr>
                  <m:sty m:val="p"/>
                </m:rPr>
                <w:rPr>
                  <w:rFonts w:ascii="Cambria Math" w:hAnsi="Cambria Math"/>
                  <w:sz w:val="20"/>
                  <w:szCs w:val="20"/>
                </w:rPr>
                <m:t>980</m:t>
              </m:r>
            </m:num>
            <m:den>
              <m:r>
                <m:rPr>
                  <m:sty m:val="p"/>
                </m:rPr>
                <w:rPr>
                  <w:rFonts w:ascii="Cambria Math" w:hAnsi="Cambria Math"/>
                  <w:sz w:val="20"/>
                  <w:szCs w:val="20"/>
                </w:rPr>
                <m:t>1+980(.05)</m:t>
              </m:r>
            </m:den>
          </m:f>
        </m:oMath>
      </m:oMathPara>
    </w:p>
    <w:p w14:paraId="47B3B889" w14:textId="77777777" w:rsidR="007E1F8A" w:rsidRPr="00195E39" w:rsidRDefault="007E1F8A" w:rsidP="00C21D52">
      <w:pPr>
        <w:ind w:left="0" w:firstLine="284"/>
        <w:rPr>
          <w:rFonts w:ascii="Verdana" w:hAnsi="Verdana"/>
          <w:sz w:val="20"/>
          <w:szCs w:val="20"/>
          <w:vertAlign w:val="superscript"/>
        </w:rPr>
      </w:pPr>
      <w:r w:rsidRPr="00195E39">
        <w:rPr>
          <w:rFonts w:ascii="Verdana" w:hAnsi="Verdana"/>
          <w:sz w:val="20"/>
          <w:szCs w:val="20"/>
        </w:rPr>
        <w:t>= 284</w:t>
      </w:r>
    </w:p>
    <w:p w14:paraId="54BB39FB" w14:textId="77777777" w:rsidR="007E1F8A" w:rsidRPr="00195E39" w:rsidRDefault="007E1F8A" w:rsidP="00C21D52">
      <w:pPr>
        <w:rPr>
          <w:rFonts w:ascii="Verdana" w:hAnsi="Verdana"/>
          <w:sz w:val="20"/>
          <w:szCs w:val="20"/>
        </w:rPr>
      </w:pPr>
      <w:r w:rsidRPr="00195E39">
        <w:rPr>
          <w:rFonts w:ascii="Verdana" w:hAnsi="Verdana"/>
          <w:sz w:val="20"/>
          <w:szCs w:val="20"/>
        </w:rPr>
        <w:t>(n) = sample size, N = population, e = .05</w:t>
      </w:r>
    </w:p>
    <w:p w14:paraId="560CE583" w14:textId="77777777" w:rsidR="00C21D52" w:rsidRDefault="00C21D52" w:rsidP="00C21D52">
      <w:pPr>
        <w:ind w:left="0" w:firstLine="720"/>
        <w:rPr>
          <w:rFonts w:ascii="Verdana" w:hAnsi="Verdana"/>
          <w:sz w:val="20"/>
          <w:szCs w:val="20"/>
        </w:rPr>
      </w:pPr>
    </w:p>
    <w:p w14:paraId="2DAC46B3" w14:textId="52549E28" w:rsidR="007E1F8A" w:rsidRDefault="007E1F8A" w:rsidP="00A60A82">
      <w:pPr>
        <w:ind w:left="0" w:firstLine="720"/>
        <w:rPr>
          <w:rFonts w:ascii="Verdana" w:hAnsi="Verdana"/>
          <w:color w:val="374151"/>
          <w:sz w:val="20"/>
          <w:szCs w:val="20"/>
          <w:shd w:val="clear" w:color="auto" w:fill="F7F7F8"/>
        </w:rPr>
      </w:pPr>
      <w:r w:rsidRPr="00195E39">
        <w:rPr>
          <w:rFonts w:ascii="Verdana" w:hAnsi="Verdana"/>
          <w:sz w:val="20"/>
          <w:szCs w:val="20"/>
        </w:rPr>
        <w:t xml:space="preserve">The researcher utilized primary data from individual investors to gather pertinent information for the study. The data collection process involved administering closed-ended adopted questionnaires taken from the study of </w:t>
      </w:r>
      <w:hyperlink w:anchor="_ENREF_3" w:tooltip="Aleka, 2020 #51"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AuthorYear="1"&gt;&lt;Author&gt;Aleka&lt;/Author&gt;&lt;Year&gt;2020&lt;/Year&gt;&lt;RecNum&gt;51&lt;/RecNum&gt;&lt;DisplayText&gt;Aleka (2020)&lt;/DisplayText&gt;&lt;record&gt;&lt;rec-number&gt;51&lt;/rec-number&gt;&lt;foreign-keys&gt;&lt;key app="EN" db-id="v5ve2td2jxzxrxee0pdpwrv99fpre2frs20r" timestamp="1703962573"&gt;51&lt;/key&gt;&lt;/foreign-keys&gt;&lt;ref-type name="Report"&gt;27&lt;/ref-type&gt;&lt;contributors&gt;&lt;authors&gt;&lt;author&gt;Aleka, T. G. &lt;/author&gt;&lt;/authors&gt;&lt;/contributors&gt;&lt;titles&gt;&lt;title&gt;The Impact of Personality Traits and Demographic Characteristics on Risk Tolerance of Individual Investors. A Case of Bahir Dar City (Doctoral dissertation).&lt;/title&gt;&lt;/titles&gt;&lt;dates&gt;&lt;year&gt;2020&lt;/year&gt;&lt;/dates&gt;&lt;urls&gt;&lt;/urls&gt;&lt;/record&gt;&lt;/Cite&gt;&lt;/EndNote&gt;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Aleka (2020)</w:t>
        </w:r>
        <w:r w:rsidR="004372FE">
          <w:rPr>
            <w:rFonts w:ascii="Verdana" w:hAnsi="Verdana"/>
            <w:sz w:val="20"/>
            <w:szCs w:val="20"/>
          </w:rPr>
          <w:fldChar w:fldCharType="end"/>
        </w:r>
      </w:hyperlink>
      <w:r w:rsidR="00AD1EA8">
        <w:rPr>
          <w:rFonts w:ascii="Verdana" w:hAnsi="Verdana"/>
          <w:sz w:val="20"/>
          <w:szCs w:val="20"/>
        </w:rPr>
        <w:t xml:space="preserve"> </w:t>
      </w:r>
      <w:r w:rsidRPr="00195E39">
        <w:rPr>
          <w:rFonts w:ascii="Verdana" w:hAnsi="Verdana"/>
          <w:sz w:val="20"/>
          <w:szCs w:val="20"/>
          <w:shd w:val="clear" w:color="auto" w:fill="FFFFFF"/>
        </w:rPr>
        <w:t>with his consent. </w:t>
      </w:r>
      <w:r w:rsidRPr="00195E39">
        <w:rPr>
          <w:rFonts w:ascii="Verdana" w:hAnsi="Verdana"/>
          <w:sz w:val="20"/>
          <w:szCs w:val="20"/>
        </w:rPr>
        <w:t>To determine the influence of personality traits and demographic characteristics on the risk tolerance of individual investors</w:t>
      </w:r>
      <w:r w:rsidRPr="00195E39">
        <w:rPr>
          <w:rFonts w:ascii="Verdana" w:hAnsi="Verdana"/>
          <w:color w:val="374151"/>
          <w:sz w:val="20"/>
          <w:szCs w:val="20"/>
          <w:shd w:val="clear" w:color="auto" w:fill="F7F7F8"/>
        </w:rPr>
        <w:t xml:space="preserve">. </w:t>
      </w:r>
    </w:p>
    <w:p w14:paraId="3BDAC16A" w14:textId="77777777" w:rsidR="00C21D52" w:rsidRPr="00195E39" w:rsidRDefault="00C21D52" w:rsidP="00C21D52">
      <w:pPr>
        <w:ind w:left="0" w:firstLine="720"/>
        <w:rPr>
          <w:rFonts w:ascii="Verdana" w:hAnsi="Verdana"/>
          <w:color w:val="374151"/>
          <w:sz w:val="20"/>
          <w:szCs w:val="20"/>
          <w:shd w:val="clear" w:color="auto" w:fill="F7F7F8"/>
        </w:rPr>
      </w:pPr>
    </w:p>
    <w:p w14:paraId="452105D0" w14:textId="1347CDFD" w:rsidR="007E1F8A" w:rsidRPr="00C21D52" w:rsidRDefault="007E1F8A" w:rsidP="00C21D52">
      <w:pPr>
        <w:pStyle w:val="ListParagraph"/>
        <w:numPr>
          <w:ilvl w:val="2"/>
          <w:numId w:val="39"/>
        </w:numPr>
        <w:ind w:left="709"/>
        <w:rPr>
          <w:rFonts w:ascii="Verdana" w:hAnsi="Verdana"/>
          <w:b/>
          <w:sz w:val="22"/>
          <w:szCs w:val="22"/>
        </w:rPr>
      </w:pPr>
      <w:r w:rsidRPr="00C21D52">
        <w:rPr>
          <w:rFonts w:ascii="Verdana" w:hAnsi="Verdana"/>
          <w:b/>
          <w:sz w:val="22"/>
          <w:szCs w:val="22"/>
        </w:rPr>
        <w:t xml:space="preserve">Data </w:t>
      </w:r>
      <w:r w:rsidR="00C21D52">
        <w:rPr>
          <w:rFonts w:ascii="Verdana" w:hAnsi="Verdana"/>
          <w:b/>
          <w:sz w:val="22"/>
          <w:szCs w:val="22"/>
        </w:rPr>
        <w:t>C</w:t>
      </w:r>
      <w:r w:rsidRPr="00C21D52">
        <w:rPr>
          <w:rFonts w:ascii="Verdana" w:hAnsi="Verdana"/>
          <w:b/>
          <w:sz w:val="22"/>
          <w:szCs w:val="22"/>
        </w:rPr>
        <w:t xml:space="preserve">ollection </w:t>
      </w:r>
      <w:r w:rsidR="00C21D52">
        <w:rPr>
          <w:rFonts w:ascii="Verdana" w:hAnsi="Verdana"/>
          <w:b/>
          <w:sz w:val="22"/>
          <w:szCs w:val="22"/>
        </w:rPr>
        <w:t>T</w:t>
      </w:r>
      <w:r w:rsidRPr="00C21D52">
        <w:rPr>
          <w:rFonts w:ascii="Verdana" w:hAnsi="Verdana"/>
          <w:b/>
          <w:sz w:val="22"/>
          <w:szCs w:val="22"/>
        </w:rPr>
        <w:t>ool</w:t>
      </w:r>
    </w:p>
    <w:p w14:paraId="19A518B5" w14:textId="77777777" w:rsidR="00C21D52" w:rsidRDefault="00C21D52" w:rsidP="00C21D52">
      <w:pPr>
        <w:ind w:left="0" w:firstLine="709"/>
        <w:rPr>
          <w:rFonts w:ascii="Verdana" w:hAnsi="Verdana"/>
          <w:sz w:val="20"/>
          <w:szCs w:val="20"/>
        </w:rPr>
      </w:pPr>
    </w:p>
    <w:p w14:paraId="50A157CF" w14:textId="1F6C5FE8" w:rsidR="00C21D52" w:rsidRDefault="007E1F8A" w:rsidP="00A60A82">
      <w:pPr>
        <w:ind w:left="0" w:firstLine="709"/>
        <w:rPr>
          <w:rFonts w:ascii="Verdana" w:hAnsi="Verdana"/>
          <w:sz w:val="20"/>
          <w:szCs w:val="20"/>
          <w:shd w:val="clear" w:color="auto" w:fill="FFFFFF"/>
        </w:rPr>
      </w:pPr>
      <w:r w:rsidRPr="00195E39">
        <w:rPr>
          <w:rFonts w:ascii="Verdana" w:hAnsi="Verdana"/>
          <w:sz w:val="20"/>
          <w:szCs w:val="20"/>
        </w:rPr>
        <w:t xml:space="preserve">To collect the primary data for this research study, the self-administered questionnaire adopted by </w:t>
      </w:r>
      <w:hyperlink w:anchor="_ENREF_3" w:tooltip="Aleka, 2020 #51"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AuthorYear="1"&gt;&lt;Author&gt;Aleka&lt;/Author&gt;&lt;Year&gt;2020&lt;/Year&gt;&lt;RecNum&gt;51&lt;/RecNum&gt;&lt;DisplayText&gt;Aleka (2020)&lt;/DisplayText&gt;&lt;record&gt;&lt;rec-number&gt;51&lt;/rec-number&gt;&lt;foreign-keys&gt;&lt;key app="EN" db-id="v5ve2td2jxzxrxee0pdpwrv99fpre2frs20r" timestamp="1703962573"&gt;51&lt;/key&gt;&lt;/foreign-keys&gt;&lt;ref-type name="Report"&gt;27&lt;/ref-type&gt;&lt;contributors&gt;&lt;authors&gt;&lt;author&gt;Aleka, T. G. &lt;/author&gt;&lt;/authors&gt;&lt;/contributors&gt;&lt;titles&gt;&lt;title&gt;The Impact of Personality Traits and Demographic Characteristics on Risk Tolerance of Individual Investors. A Case of Bahir Dar City (Doctoral dissertation).&lt;/title&gt;&lt;/titles&gt;&lt;dates&gt;&lt;year&gt;2020&lt;/year&gt;&lt;/dates&gt;&lt;urls&gt;&lt;/urls&gt;&lt;/record&gt;&lt;/Cite&gt;&lt;/EndNote&gt;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Aleka (2020)</w:t>
        </w:r>
        <w:r w:rsidR="004372FE">
          <w:rPr>
            <w:rFonts w:ascii="Verdana" w:hAnsi="Verdana"/>
            <w:sz w:val="20"/>
            <w:szCs w:val="20"/>
          </w:rPr>
          <w:fldChar w:fldCharType="end"/>
        </w:r>
      </w:hyperlink>
      <w:r w:rsidR="00AD1EA8">
        <w:rPr>
          <w:rFonts w:ascii="Verdana" w:hAnsi="Verdana"/>
          <w:sz w:val="20"/>
          <w:szCs w:val="20"/>
        </w:rPr>
        <w:t xml:space="preserve"> </w:t>
      </w:r>
      <w:r w:rsidRPr="00195E39">
        <w:rPr>
          <w:rFonts w:ascii="Verdana" w:hAnsi="Verdana"/>
          <w:sz w:val="20"/>
          <w:szCs w:val="20"/>
        </w:rPr>
        <w:t xml:space="preserve">was chosen as the main data collection tool. The tool is already cached for validity and reality by </w:t>
      </w:r>
      <w:hyperlink w:anchor="_ENREF_3" w:tooltip="Aleka, 2020 #51"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AuthorYear="1"&gt;&lt;Author&gt;Aleka&lt;/Author&gt;&lt;Year&gt;2020&lt;/Year&gt;&lt;RecNum&gt;51&lt;/RecNum&gt;&lt;DisplayText&gt;Aleka (2020)&lt;/DisplayText&gt;&lt;record&gt;&lt;rec-number&gt;51&lt;/rec-number&gt;&lt;foreign-keys&gt;&lt;key app="EN" db-id="v5ve2td2jxzxrxee0pdpwrv99fpre2frs20r" timestamp="1703962573"&gt;51&lt;/key&gt;&lt;/foreign-keys&gt;&lt;ref-type name="Report"&gt;27&lt;/ref-type&gt;&lt;contributors&gt;&lt;authors&gt;&lt;author&gt;Aleka, T. G. &lt;/author&gt;&lt;/authors&gt;&lt;/contributors&gt;&lt;titles&gt;&lt;title&gt;The Impact of Personality Traits and Demographic Characteristics on Risk Tolerance of Individual Investors. A Case of Bahir Dar City (Doctoral dissertation).&lt;/title&gt;&lt;/titles&gt;&lt;dates&gt;&lt;year&gt;2020&lt;/year&gt;&lt;/dates&gt;&lt;urls&gt;&lt;/urls&gt;&lt;/record&gt;&lt;/Cite&gt;&lt;/EndNote&gt;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Aleka (2020)</w:t>
        </w:r>
        <w:r w:rsidR="004372FE">
          <w:rPr>
            <w:rFonts w:ascii="Verdana" w:hAnsi="Verdana"/>
            <w:sz w:val="20"/>
            <w:szCs w:val="20"/>
          </w:rPr>
          <w:fldChar w:fldCharType="end"/>
        </w:r>
      </w:hyperlink>
      <w:r w:rsidR="00AD1EA8">
        <w:rPr>
          <w:rFonts w:ascii="Verdana" w:hAnsi="Verdana"/>
          <w:sz w:val="20"/>
          <w:szCs w:val="20"/>
        </w:rPr>
        <w:t xml:space="preserve">. </w:t>
      </w:r>
      <w:r w:rsidRPr="00195E39">
        <w:rPr>
          <w:rFonts w:ascii="Verdana" w:hAnsi="Verdana"/>
          <w:sz w:val="20"/>
          <w:szCs w:val="20"/>
        </w:rPr>
        <w:t>For reliability, the cited scholar used Cronbach’s alpha. The questionnaire is adopted from the cited scholar and has closed-ended questions. The first questionnaire is about individual demographic characteristics. The second part of the questionnaire is related to personality traits measured through Likert-Scale ranging from stro</w:t>
      </w:r>
      <w:r w:rsidR="008255EA">
        <w:rPr>
          <w:rFonts w:ascii="Verdana" w:hAnsi="Verdana"/>
          <w:sz w:val="20"/>
          <w:szCs w:val="20"/>
        </w:rPr>
        <w:t xml:space="preserve">ngly disagree to strongly agree </w:t>
      </w:r>
      <w:r w:rsidR="00AD1EA8">
        <w:rPr>
          <w:rFonts w:ascii="Verdana" w:hAnsi="Verdana"/>
          <w:sz w:val="20"/>
          <w:szCs w:val="20"/>
        </w:rPr>
        <w:fldChar w:fldCharType="begin"/>
      </w:r>
      <w:r w:rsidR="00AD1EA8">
        <w:rPr>
          <w:rFonts w:ascii="Verdana" w:hAnsi="Verdana"/>
          <w:sz w:val="20"/>
          <w:szCs w:val="20"/>
        </w:rPr>
        <w:instrText xml:space="preserve"> ADDIN EN.CITE &lt;EndNote&gt;&lt;Cite&gt;&lt;Author&gt;Aleka&lt;/Author&gt;&lt;Year&gt;2020&lt;/Year&gt;&lt;RecNum&gt;51&lt;/RecNum&gt;&lt;DisplayText&gt;(Aleka, 2020)&lt;/DisplayText&gt;&lt;record&gt;&lt;rec-number&gt;51&lt;/rec-number&gt;&lt;foreign-keys&gt;&lt;key app="EN" db-id="v5ve2td2jxzxrxee0pdpwrv99fpre2frs20r" timestamp="1703962573"&gt;51&lt;/key&gt;&lt;/foreign-keys&gt;&lt;ref-type name="Report"&gt;27&lt;/ref-type&gt;&lt;contributors&gt;&lt;authors&gt;&lt;author&gt;Aleka, T. G. &lt;/author&gt;&lt;/authors&gt;&lt;/contributors&gt;&lt;titles&gt;&lt;title&gt;The Impact of Personality Traits and Demographic Characteristics on Risk Tolerance of Individual Investors. A Case of Bahir Dar City (Doctoral dissertation).&lt;/title&gt;&lt;/titles&gt;&lt;dates&gt;&lt;year&gt;2020&lt;/year&gt;&lt;/dates&gt;&lt;urls&gt;&lt;/urls&gt;&lt;/record&gt;&lt;/Cite&gt;&lt;/EndNote&gt;</w:instrText>
      </w:r>
      <w:r w:rsidR="00AD1EA8">
        <w:rPr>
          <w:rFonts w:ascii="Verdana" w:hAnsi="Verdana"/>
          <w:sz w:val="20"/>
          <w:szCs w:val="20"/>
        </w:rPr>
        <w:fldChar w:fldCharType="separate"/>
      </w:r>
      <w:r w:rsidR="00AD1EA8">
        <w:rPr>
          <w:rFonts w:ascii="Verdana" w:hAnsi="Verdana"/>
          <w:noProof/>
          <w:sz w:val="20"/>
          <w:szCs w:val="20"/>
        </w:rPr>
        <w:t>(</w:t>
      </w:r>
      <w:hyperlink w:anchor="_ENREF_3" w:tooltip="Aleka, 2020 #51" w:history="1">
        <w:r w:rsidR="004372FE">
          <w:rPr>
            <w:rFonts w:ascii="Verdana" w:hAnsi="Verdana"/>
            <w:noProof/>
            <w:sz w:val="20"/>
            <w:szCs w:val="20"/>
          </w:rPr>
          <w:t>Aleka, 2020</w:t>
        </w:r>
      </w:hyperlink>
      <w:r w:rsidR="00AD1EA8">
        <w:rPr>
          <w:rFonts w:ascii="Verdana" w:hAnsi="Verdana"/>
          <w:noProof/>
          <w:sz w:val="20"/>
          <w:szCs w:val="20"/>
        </w:rPr>
        <w:t>)</w:t>
      </w:r>
      <w:r w:rsidR="00AD1EA8">
        <w:rPr>
          <w:rFonts w:ascii="Verdana" w:hAnsi="Verdana"/>
          <w:sz w:val="20"/>
          <w:szCs w:val="20"/>
        </w:rPr>
        <w:fldChar w:fldCharType="end"/>
      </w:r>
      <w:r w:rsidR="008255EA">
        <w:rPr>
          <w:rFonts w:ascii="Verdana" w:hAnsi="Verdana"/>
          <w:sz w:val="20"/>
          <w:szCs w:val="20"/>
        </w:rPr>
        <w:t xml:space="preserve">. </w:t>
      </w:r>
      <w:r w:rsidRPr="00195E39">
        <w:rPr>
          <w:rFonts w:ascii="Verdana" w:hAnsi="Verdana"/>
          <w:sz w:val="20"/>
          <w:szCs w:val="20"/>
          <w:shd w:val="clear" w:color="auto" w:fill="FFFFFF"/>
        </w:rPr>
        <w:t xml:space="preserve">Included 24 questions concerning measuring personality traits from previous studies </w:t>
      </w:r>
      <w:r w:rsidR="002E4362">
        <w:rPr>
          <w:rFonts w:ascii="Verdana" w:hAnsi="Verdana"/>
          <w:sz w:val="20"/>
          <w:szCs w:val="20"/>
          <w:shd w:val="clear" w:color="auto" w:fill="FFFFFF"/>
        </w:rPr>
        <w:fldChar w:fldCharType="begin"/>
      </w:r>
      <w:r w:rsidR="002E4362">
        <w:rPr>
          <w:rFonts w:ascii="Verdana" w:hAnsi="Verdana"/>
          <w:sz w:val="20"/>
          <w:szCs w:val="20"/>
          <w:shd w:val="clear" w:color="auto" w:fill="FFFFFF"/>
        </w:rPr>
        <w:instrText xml:space="preserve"> ADDIN EN.CITE &lt;EndNote&gt;&lt;Cite&gt;&lt;Author&gt;Pak&lt;/Author&gt;&lt;Year&gt;2015&lt;/Year&gt;&lt;RecNum&gt;34&lt;/RecNum&gt;&lt;DisplayText&gt;(Mayfield, Perdue, &amp;amp; Wooten, 2008; Pak &amp;amp; Mahmood, 2015)&lt;/DisplayText&gt;&lt;record&gt;&lt;rec-number&gt;34&lt;/rec-number&gt;&lt;foreign-keys&gt;&lt;key app="EN" db-id="v5ve2td2jxzxrxee0pdpwrv99fpre2frs20r" timestamp="1703959368"&gt;34&lt;/key&gt;&lt;/foreign-keys&gt;&lt;ref-type name="Journal Article"&gt;17&lt;/ref-type&gt;&lt;contributors&gt;&lt;authors&gt;&lt;author&gt;Pak, Olga&lt;/author&gt;&lt;author&gt;Mahmood, Monowar&lt;/author&gt;&lt;/authors&gt;&lt;/contributors&gt;&lt;titles&gt;&lt;title&gt;Impact of personality on risk tolerance and investment decisions: A study on potential investors of Kazakhstan&lt;/title&gt;&lt;secondary-title&gt;International Journal of Commerce and Management&lt;/secondary-title&gt;&lt;/titles&gt;&lt;periodical&gt;&lt;full-title&gt;International Journal of Commerce and Management&lt;/full-title&gt;&lt;/periodical&gt;&lt;pages&gt;370-384&lt;/pages&gt;&lt;volume&gt;25&lt;/volume&gt;&lt;number&gt;4&lt;/number&gt;&lt;dates&gt;&lt;year&gt;2015&lt;/year&gt;&lt;/dates&gt;&lt;isbn&gt;1056-9219&lt;/isbn&gt;&lt;urls&gt;&lt;/urls&gt;&lt;electronic-resource-num&gt;https://doi.org/10.1108/IJCoMA-01-2013-0002&lt;/electronic-resource-num&gt;&lt;/record&gt;&lt;/Cite&gt;&lt;Cite&gt;&lt;Author&gt;Mayfield&lt;/Author&gt;&lt;Year&gt;2008&lt;/Year&gt;&lt;RecNum&gt;52&lt;/RecNum&gt;&lt;record&gt;&lt;rec-number&gt;52&lt;/rec-number&gt;&lt;foreign-keys&gt;&lt;key app="EN" db-id="v5ve2td2jxzxrxee0pdpwrv99fpre2frs20r" timestamp="1703962776"&gt;52&lt;/key&gt;&lt;/foreign-keys&gt;&lt;ref-type name="Journal Article"&gt;17&lt;/ref-type&gt;&lt;contributors&gt;&lt;authors&gt;&lt;author&gt;Mayfield, Cliff&lt;/author&gt;&lt;author&gt;Perdue, Grady&lt;/author&gt;&lt;author&gt;Wooten, Kevin&lt;/author&gt;&lt;/authors&gt;&lt;/contributors&gt;&lt;titles&gt;&lt;title&gt;Investment management and personality type&lt;/title&gt;&lt;secondary-title&gt;Financial services review&lt;/secondary-title&gt;&lt;/titles&gt;&lt;periodical&gt;&lt;full-title&gt;Financial Services Review&lt;/full-title&gt;&lt;/periodical&gt;&lt;pages&gt;219-236&lt;/pages&gt;&lt;volume&gt;17&lt;/volume&gt;&lt;number&gt;3&lt;/number&gt;&lt;dates&gt;&lt;year&gt;2008&lt;/year&gt;&lt;/dates&gt;&lt;isbn&gt;1057-0810&lt;/isbn&gt;&lt;urls&gt;&lt;/urls&gt;&lt;/record&gt;&lt;/Cite&gt;&lt;/EndNote&gt;</w:instrText>
      </w:r>
      <w:r w:rsidR="002E4362">
        <w:rPr>
          <w:rFonts w:ascii="Verdana" w:hAnsi="Verdana"/>
          <w:sz w:val="20"/>
          <w:szCs w:val="20"/>
          <w:shd w:val="clear" w:color="auto" w:fill="FFFFFF"/>
        </w:rPr>
        <w:fldChar w:fldCharType="separate"/>
      </w:r>
      <w:r w:rsidR="002E4362">
        <w:rPr>
          <w:rFonts w:ascii="Verdana" w:hAnsi="Verdana"/>
          <w:noProof/>
          <w:sz w:val="20"/>
          <w:szCs w:val="20"/>
          <w:shd w:val="clear" w:color="auto" w:fill="FFFFFF"/>
        </w:rPr>
        <w:t>(</w:t>
      </w:r>
      <w:hyperlink w:anchor="_ENREF_42" w:tooltip="Mayfield, 2008 #52" w:history="1">
        <w:r w:rsidR="004372FE">
          <w:rPr>
            <w:rFonts w:ascii="Verdana" w:hAnsi="Verdana"/>
            <w:noProof/>
            <w:sz w:val="20"/>
            <w:szCs w:val="20"/>
            <w:shd w:val="clear" w:color="auto" w:fill="FFFFFF"/>
          </w:rPr>
          <w:t>Mayfield, Perdue, &amp; Wooten, 2008</w:t>
        </w:r>
      </w:hyperlink>
      <w:r w:rsidR="002E4362">
        <w:rPr>
          <w:rFonts w:ascii="Verdana" w:hAnsi="Verdana"/>
          <w:noProof/>
          <w:sz w:val="20"/>
          <w:szCs w:val="20"/>
          <w:shd w:val="clear" w:color="auto" w:fill="FFFFFF"/>
        </w:rPr>
        <w:t xml:space="preserve">; </w:t>
      </w:r>
      <w:hyperlink w:anchor="_ENREF_51" w:tooltip="Pak, 2015 #34" w:history="1">
        <w:r w:rsidR="004372FE">
          <w:rPr>
            <w:rFonts w:ascii="Verdana" w:hAnsi="Verdana"/>
            <w:noProof/>
            <w:sz w:val="20"/>
            <w:szCs w:val="20"/>
            <w:shd w:val="clear" w:color="auto" w:fill="FFFFFF"/>
          </w:rPr>
          <w:t>Pak &amp; Mahmood, 2015</w:t>
        </w:r>
      </w:hyperlink>
      <w:r w:rsidR="002E4362">
        <w:rPr>
          <w:rFonts w:ascii="Verdana" w:hAnsi="Verdana"/>
          <w:noProof/>
          <w:sz w:val="20"/>
          <w:szCs w:val="20"/>
          <w:shd w:val="clear" w:color="auto" w:fill="FFFFFF"/>
        </w:rPr>
        <w:t>)</w:t>
      </w:r>
      <w:r w:rsidR="002E4362">
        <w:rPr>
          <w:rFonts w:ascii="Verdana" w:hAnsi="Verdana"/>
          <w:sz w:val="20"/>
          <w:szCs w:val="20"/>
          <w:shd w:val="clear" w:color="auto" w:fill="FFFFFF"/>
        </w:rPr>
        <w:fldChar w:fldCharType="end"/>
      </w:r>
      <w:r w:rsidR="002E4362">
        <w:rPr>
          <w:rFonts w:ascii="Verdana" w:hAnsi="Verdana"/>
          <w:sz w:val="20"/>
          <w:szCs w:val="20"/>
          <w:shd w:val="clear" w:color="auto" w:fill="FFFFFF"/>
        </w:rPr>
        <w:t>.</w:t>
      </w:r>
      <w:r w:rsidR="008255EA">
        <w:rPr>
          <w:rFonts w:ascii="Verdana" w:hAnsi="Verdana"/>
          <w:sz w:val="20"/>
          <w:szCs w:val="20"/>
          <w:shd w:val="clear" w:color="auto" w:fill="FFFFFF"/>
        </w:rPr>
        <w:t xml:space="preserve"> </w:t>
      </w:r>
      <w:bookmarkStart w:id="6" w:name="_Hlk135910289"/>
    </w:p>
    <w:p w14:paraId="242536DC" w14:textId="77777777" w:rsidR="002E4362" w:rsidRDefault="002E4362" w:rsidP="002E4362">
      <w:pPr>
        <w:ind w:left="0" w:firstLine="709"/>
        <w:rPr>
          <w:rFonts w:ascii="Verdana" w:hAnsi="Verdana"/>
          <w:b/>
          <w:bCs/>
          <w:sz w:val="20"/>
          <w:szCs w:val="20"/>
        </w:rPr>
      </w:pPr>
    </w:p>
    <w:p w14:paraId="64004FE6" w14:textId="6DB194AB" w:rsidR="007E1F8A" w:rsidRPr="00195E39" w:rsidRDefault="007E1F8A" w:rsidP="007E1F8A">
      <w:pPr>
        <w:rPr>
          <w:rFonts w:ascii="Verdana" w:hAnsi="Verdana"/>
          <w:sz w:val="20"/>
          <w:szCs w:val="20"/>
        </w:rPr>
      </w:pPr>
      <w:r w:rsidRPr="00195E39">
        <w:rPr>
          <w:rFonts w:ascii="Verdana" w:hAnsi="Verdana"/>
          <w:b/>
          <w:bCs/>
          <w:sz w:val="20"/>
          <w:szCs w:val="20"/>
        </w:rPr>
        <w:t>Table 1.</w:t>
      </w:r>
      <w:r w:rsidRPr="00195E39">
        <w:rPr>
          <w:rFonts w:ascii="Verdana" w:hAnsi="Verdana"/>
          <w:sz w:val="20"/>
          <w:szCs w:val="20"/>
        </w:rPr>
        <w:t xml:space="preserve"> </w:t>
      </w:r>
    </w:p>
    <w:p w14:paraId="7B0628F5" w14:textId="4B2450CB" w:rsidR="007E1F8A" w:rsidRPr="009E3570" w:rsidRDefault="007E1F8A" w:rsidP="007E1F8A">
      <w:pPr>
        <w:rPr>
          <w:rFonts w:ascii="Verdana" w:hAnsi="Verdana"/>
          <w:b/>
          <w:bCs/>
          <w:i/>
          <w:iCs/>
          <w:sz w:val="20"/>
          <w:szCs w:val="20"/>
        </w:rPr>
      </w:pPr>
      <w:r w:rsidRPr="009E3570">
        <w:rPr>
          <w:rFonts w:ascii="Verdana" w:hAnsi="Verdana"/>
          <w:b/>
          <w:bCs/>
          <w:i/>
          <w:iCs/>
          <w:sz w:val="20"/>
          <w:szCs w:val="20"/>
        </w:rPr>
        <w:t>Cronbach’s Alpha Test Result</w:t>
      </w:r>
    </w:p>
    <w:tbl>
      <w:tblPr>
        <w:tblW w:w="5000" w:type="pct"/>
        <w:tblBorders>
          <w:top w:val="single" w:sz="4" w:space="0" w:color="auto"/>
          <w:bottom w:val="single" w:sz="4" w:space="0" w:color="auto"/>
        </w:tblBorders>
        <w:tblLook w:val="04A0" w:firstRow="1" w:lastRow="0" w:firstColumn="1" w:lastColumn="0" w:noHBand="0" w:noVBand="1"/>
      </w:tblPr>
      <w:tblGrid>
        <w:gridCol w:w="4486"/>
        <w:gridCol w:w="2074"/>
        <w:gridCol w:w="3316"/>
      </w:tblGrid>
      <w:tr w:rsidR="007E1F8A" w:rsidRPr="009E3570" w14:paraId="3249E802" w14:textId="77777777" w:rsidTr="009E3570">
        <w:trPr>
          <w:trHeight w:val="20"/>
        </w:trPr>
        <w:tc>
          <w:tcPr>
            <w:tcW w:w="2271" w:type="pct"/>
            <w:tcBorders>
              <w:top w:val="single" w:sz="4" w:space="0" w:color="auto"/>
              <w:bottom w:val="single" w:sz="4" w:space="0" w:color="auto"/>
            </w:tcBorders>
            <w:shd w:val="clear" w:color="auto" w:fill="auto"/>
            <w:noWrap/>
            <w:vAlign w:val="center"/>
            <w:hideMark/>
          </w:tcPr>
          <w:p w14:paraId="365E2941" w14:textId="77777777" w:rsidR="007E1F8A" w:rsidRPr="006D559E" w:rsidRDefault="007E1F8A" w:rsidP="005534E0">
            <w:pPr>
              <w:ind w:left="270"/>
              <w:rPr>
                <w:rFonts w:ascii="Verdana" w:hAnsi="Verdana"/>
                <w:b/>
                <w:bCs/>
                <w:sz w:val="18"/>
                <w:szCs w:val="18"/>
              </w:rPr>
            </w:pPr>
            <w:r w:rsidRPr="006D559E">
              <w:rPr>
                <w:rFonts w:ascii="Verdana" w:hAnsi="Verdana"/>
                <w:b/>
                <w:bCs/>
                <w:sz w:val="18"/>
                <w:szCs w:val="18"/>
              </w:rPr>
              <w:t>Study's Variables</w:t>
            </w:r>
          </w:p>
        </w:tc>
        <w:tc>
          <w:tcPr>
            <w:tcW w:w="1050" w:type="pct"/>
            <w:tcBorders>
              <w:top w:val="single" w:sz="4" w:space="0" w:color="auto"/>
              <w:bottom w:val="single" w:sz="4" w:space="0" w:color="auto"/>
            </w:tcBorders>
            <w:shd w:val="clear" w:color="auto" w:fill="auto"/>
            <w:noWrap/>
            <w:hideMark/>
          </w:tcPr>
          <w:p w14:paraId="55616BF8" w14:textId="77777777" w:rsidR="007E1F8A" w:rsidRPr="006D559E" w:rsidRDefault="007E1F8A" w:rsidP="00A76C6E">
            <w:pPr>
              <w:ind w:left="0" w:firstLine="0"/>
              <w:rPr>
                <w:rFonts w:ascii="Verdana" w:hAnsi="Verdana"/>
                <w:b/>
                <w:bCs/>
                <w:sz w:val="18"/>
                <w:szCs w:val="18"/>
              </w:rPr>
            </w:pPr>
            <w:r w:rsidRPr="006D559E">
              <w:rPr>
                <w:rFonts w:ascii="Verdana" w:hAnsi="Verdana"/>
                <w:b/>
                <w:bCs/>
                <w:sz w:val="18"/>
                <w:szCs w:val="18"/>
              </w:rPr>
              <w:t>No Of Item</w:t>
            </w:r>
          </w:p>
        </w:tc>
        <w:tc>
          <w:tcPr>
            <w:tcW w:w="1679" w:type="pct"/>
            <w:tcBorders>
              <w:top w:val="single" w:sz="4" w:space="0" w:color="auto"/>
              <w:bottom w:val="single" w:sz="4" w:space="0" w:color="auto"/>
            </w:tcBorders>
            <w:shd w:val="clear" w:color="auto" w:fill="auto"/>
            <w:noWrap/>
            <w:hideMark/>
          </w:tcPr>
          <w:p w14:paraId="1577DC44" w14:textId="77777777" w:rsidR="007E1F8A" w:rsidRPr="006D559E" w:rsidRDefault="007E1F8A" w:rsidP="00A76C6E">
            <w:pPr>
              <w:ind w:left="0" w:firstLine="0"/>
              <w:rPr>
                <w:rFonts w:ascii="Verdana" w:hAnsi="Verdana"/>
                <w:b/>
                <w:bCs/>
                <w:sz w:val="18"/>
                <w:szCs w:val="18"/>
              </w:rPr>
            </w:pPr>
            <w:r w:rsidRPr="006D559E">
              <w:rPr>
                <w:rFonts w:ascii="Verdana" w:hAnsi="Verdana"/>
                <w:b/>
                <w:bCs/>
                <w:sz w:val="18"/>
                <w:szCs w:val="18"/>
              </w:rPr>
              <w:t>Cronbach's Alpha</w:t>
            </w:r>
          </w:p>
        </w:tc>
      </w:tr>
      <w:tr w:rsidR="007E1F8A" w:rsidRPr="009E3570" w14:paraId="09E54D99" w14:textId="77777777" w:rsidTr="009E3570">
        <w:trPr>
          <w:trHeight w:val="20"/>
        </w:trPr>
        <w:tc>
          <w:tcPr>
            <w:tcW w:w="2271" w:type="pct"/>
            <w:tcBorders>
              <w:top w:val="single" w:sz="4" w:space="0" w:color="auto"/>
            </w:tcBorders>
            <w:shd w:val="clear" w:color="auto" w:fill="auto"/>
            <w:noWrap/>
            <w:vAlign w:val="center"/>
            <w:hideMark/>
          </w:tcPr>
          <w:p w14:paraId="58565D42" w14:textId="77777777" w:rsidR="007E1F8A" w:rsidRPr="009E3570" w:rsidRDefault="007E1F8A" w:rsidP="005534E0">
            <w:pPr>
              <w:ind w:left="270"/>
              <w:rPr>
                <w:rFonts w:ascii="Verdana" w:hAnsi="Verdana"/>
                <w:sz w:val="18"/>
                <w:szCs w:val="18"/>
              </w:rPr>
            </w:pPr>
            <w:r w:rsidRPr="009E3570">
              <w:rPr>
                <w:rFonts w:ascii="Verdana" w:hAnsi="Verdana"/>
                <w:sz w:val="18"/>
                <w:szCs w:val="18"/>
              </w:rPr>
              <w:t>Extraversion</w:t>
            </w:r>
          </w:p>
        </w:tc>
        <w:tc>
          <w:tcPr>
            <w:tcW w:w="1050" w:type="pct"/>
            <w:tcBorders>
              <w:top w:val="single" w:sz="4" w:space="0" w:color="auto"/>
            </w:tcBorders>
            <w:shd w:val="clear" w:color="auto" w:fill="auto"/>
            <w:noWrap/>
            <w:vAlign w:val="center"/>
            <w:hideMark/>
          </w:tcPr>
          <w:p w14:paraId="0444803A" w14:textId="77777777" w:rsidR="007E1F8A" w:rsidRPr="009E3570" w:rsidRDefault="007E1F8A" w:rsidP="005534E0">
            <w:pPr>
              <w:ind w:left="603"/>
              <w:rPr>
                <w:rFonts w:ascii="Verdana" w:hAnsi="Verdana"/>
                <w:sz w:val="18"/>
                <w:szCs w:val="18"/>
              </w:rPr>
            </w:pPr>
            <w:r w:rsidRPr="009E3570">
              <w:rPr>
                <w:rFonts w:ascii="Verdana" w:hAnsi="Verdana"/>
                <w:sz w:val="18"/>
                <w:szCs w:val="18"/>
              </w:rPr>
              <w:t>5</w:t>
            </w:r>
          </w:p>
        </w:tc>
        <w:tc>
          <w:tcPr>
            <w:tcW w:w="1679" w:type="pct"/>
            <w:tcBorders>
              <w:top w:val="single" w:sz="4" w:space="0" w:color="auto"/>
            </w:tcBorders>
            <w:shd w:val="clear" w:color="auto" w:fill="auto"/>
            <w:noWrap/>
            <w:vAlign w:val="center"/>
            <w:hideMark/>
          </w:tcPr>
          <w:p w14:paraId="52F7DCFA" w14:textId="77777777" w:rsidR="007E1F8A" w:rsidRPr="009E3570" w:rsidRDefault="007E1F8A" w:rsidP="005534E0">
            <w:pPr>
              <w:ind w:left="930"/>
              <w:rPr>
                <w:rFonts w:ascii="Verdana" w:hAnsi="Verdana"/>
                <w:sz w:val="18"/>
                <w:szCs w:val="18"/>
              </w:rPr>
            </w:pPr>
            <w:r w:rsidRPr="009E3570">
              <w:rPr>
                <w:rFonts w:ascii="Verdana" w:hAnsi="Verdana"/>
                <w:sz w:val="18"/>
                <w:szCs w:val="18"/>
              </w:rPr>
              <w:t>0.900</w:t>
            </w:r>
          </w:p>
        </w:tc>
      </w:tr>
      <w:tr w:rsidR="007E1F8A" w:rsidRPr="009E3570" w14:paraId="0B80F511" w14:textId="77777777" w:rsidTr="009E3570">
        <w:trPr>
          <w:trHeight w:val="20"/>
        </w:trPr>
        <w:tc>
          <w:tcPr>
            <w:tcW w:w="2271" w:type="pct"/>
            <w:shd w:val="clear" w:color="auto" w:fill="auto"/>
            <w:noWrap/>
            <w:vAlign w:val="center"/>
            <w:hideMark/>
          </w:tcPr>
          <w:p w14:paraId="3CDE93D7" w14:textId="77777777" w:rsidR="007E1F8A" w:rsidRPr="009E3570" w:rsidRDefault="007E1F8A" w:rsidP="005534E0">
            <w:pPr>
              <w:ind w:left="270"/>
              <w:rPr>
                <w:rFonts w:ascii="Verdana" w:hAnsi="Verdana"/>
                <w:sz w:val="18"/>
                <w:szCs w:val="18"/>
              </w:rPr>
            </w:pPr>
            <w:r w:rsidRPr="009E3570">
              <w:rPr>
                <w:rFonts w:ascii="Verdana" w:hAnsi="Verdana"/>
                <w:sz w:val="18"/>
                <w:szCs w:val="18"/>
              </w:rPr>
              <w:t>Openness To Experience</w:t>
            </w:r>
          </w:p>
        </w:tc>
        <w:tc>
          <w:tcPr>
            <w:tcW w:w="1050" w:type="pct"/>
            <w:shd w:val="clear" w:color="auto" w:fill="auto"/>
            <w:noWrap/>
            <w:vAlign w:val="center"/>
            <w:hideMark/>
          </w:tcPr>
          <w:p w14:paraId="41DA6DDB" w14:textId="77777777" w:rsidR="007E1F8A" w:rsidRPr="009E3570" w:rsidRDefault="007E1F8A" w:rsidP="005534E0">
            <w:pPr>
              <w:ind w:left="603"/>
              <w:rPr>
                <w:rFonts w:ascii="Verdana" w:hAnsi="Verdana"/>
                <w:sz w:val="18"/>
                <w:szCs w:val="18"/>
              </w:rPr>
            </w:pPr>
            <w:r w:rsidRPr="009E3570">
              <w:rPr>
                <w:rFonts w:ascii="Verdana" w:hAnsi="Verdana"/>
                <w:sz w:val="18"/>
                <w:szCs w:val="18"/>
              </w:rPr>
              <w:t>4</w:t>
            </w:r>
          </w:p>
        </w:tc>
        <w:tc>
          <w:tcPr>
            <w:tcW w:w="1679" w:type="pct"/>
            <w:shd w:val="clear" w:color="auto" w:fill="auto"/>
            <w:noWrap/>
            <w:vAlign w:val="center"/>
            <w:hideMark/>
          </w:tcPr>
          <w:p w14:paraId="73B540B9" w14:textId="77777777" w:rsidR="007E1F8A" w:rsidRPr="009E3570" w:rsidRDefault="007E1F8A" w:rsidP="005534E0">
            <w:pPr>
              <w:ind w:left="930"/>
              <w:rPr>
                <w:rFonts w:ascii="Verdana" w:hAnsi="Verdana"/>
                <w:sz w:val="18"/>
                <w:szCs w:val="18"/>
              </w:rPr>
            </w:pPr>
            <w:r w:rsidRPr="009E3570">
              <w:rPr>
                <w:rFonts w:ascii="Verdana" w:hAnsi="Verdana"/>
                <w:sz w:val="18"/>
                <w:szCs w:val="18"/>
              </w:rPr>
              <w:t>0.935</w:t>
            </w:r>
          </w:p>
        </w:tc>
      </w:tr>
      <w:tr w:rsidR="007E1F8A" w:rsidRPr="009E3570" w14:paraId="2574B139" w14:textId="77777777" w:rsidTr="009E3570">
        <w:trPr>
          <w:trHeight w:val="20"/>
        </w:trPr>
        <w:tc>
          <w:tcPr>
            <w:tcW w:w="2271" w:type="pct"/>
            <w:shd w:val="clear" w:color="auto" w:fill="auto"/>
            <w:noWrap/>
            <w:vAlign w:val="center"/>
            <w:hideMark/>
          </w:tcPr>
          <w:p w14:paraId="6D464A64" w14:textId="77777777" w:rsidR="007E1F8A" w:rsidRPr="009E3570" w:rsidRDefault="007E1F8A" w:rsidP="005534E0">
            <w:pPr>
              <w:ind w:left="270"/>
              <w:rPr>
                <w:rFonts w:ascii="Verdana" w:hAnsi="Verdana"/>
                <w:sz w:val="18"/>
                <w:szCs w:val="18"/>
              </w:rPr>
            </w:pPr>
            <w:r w:rsidRPr="009E3570">
              <w:rPr>
                <w:rFonts w:ascii="Verdana" w:hAnsi="Verdana"/>
                <w:sz w:val="18"/>
                <w:szCs w:val="18"/>
              </w:rPr>
              <w:t>Conscientiousness</w:t>
            </w:r>
          </w:p>
        </w:tc>
        <w:tc>
          <w:tcPr>
            <w:tcW w:w="1050" w:type="pct"/>
            <w:shd w:val="clear" w:color="auto" w:fill="auto"/>
            <w:noWrap/>
            <w:vAlign w:val="center"/>
            <w:hideMark/>
          </w:tcPr>
          <w:p w14:paraId="3CA0C787" w14:textId="77777777" w:rsidR="007E1F8A" w:rsidRPr="009E3570" w:rsidRDefault="007E1F8A" w:rsidP="005534E0">
            <w:pPr>
              <w:ind w:left="603"/>
              <w:rPr>
                <w:rFonts w:ascii="Verdana" w:hAnsi="Verdana"/>
                <w:sz w:val="18"/>
                <w:szCs w:val="18"/>
              </w:rPr>
            </w:pPr>
            <w:r w:rsidRPr="009E3570">
              <w:rPr>
                <w:rFonts w:ascii="Verdana" w:hAnsi="Verdana"/>
                <w:sz w:val="18"/>
                <w:szCs w:val="18"/>
              </w:rPr>
              <w:t>5</w:t>
            </w:r>
          </w:p>
        </w:tc>
        <w:tc>
          <w:tcPr>
            <w:tcW w:w="1679" w:type="pct"/>
            <w:shd w:val="clear" w:color="auto" w:fill="auto"/>
            <w:noWrap/>
            <w:vAlign w:val="center"/>
            <w:hideMark/>
          </w:tcPr>
          <w:p w14:paraId="7F1360C7" w14:textId="77777777" w:rsidR="007E1F8A" w:rsidRPr="009E3570" w:rsidRDefault="007E1F8A" w:rsidP="005534E0">
            <w:pPr>
              <w:ind w:left="930"/>
              <w:rPr>
                <w:rFonts w:ascii="Verdana" w:hAnsi="Verdana"/>
                <w:sz w:val="18"/>
                <w:szCs w:val="18"/>
              </w:rPr>
            </w:pPr>
            <w:r w:rsidRPr="009E3570">
              <w:rPr>
                <w:rFonts w:ascii="Verdana" w:hAnsi="Verdana"/>
                <w:sz w:val="18"/>
                <w:szCs w:val="18"/>
              </w:rPr>
              <w:t>0.925</w:t>
            </w:r>
          </w:p>
        </w:tc>
      </w:tr>
      <w:tr w:rsidR="007E1F8A" w:rsidRPr="009E3570" w14:paraId="35B57484" w14:textId="77777777" w:rsidTr="009E3570">
        <w:trPr>
          <w:trHeight w:val="20"/>
        </w:trPr>
        <w:tc>
          <w:tcPr>
            <w:tcW w:w="2271" w:type="pct"/>
            <w:shd w:val="clear" w:color="auto" w:fill="auto"/>
            <w:noWrap/>
            <w:vAlign w:val="center"/>
            <w:hideMark/>
          </w:tcPr>
          <w:p w14:paraId="08BFA629" w14:textId="77777777" w:rsidR="007E1F8A" w:rsidRPr="009E3570" w:rsidRDefault="007E1F8A" w:rsidP="005534E0">
            <w:pPr>
              <w:ind w:left="270"/>
              <w:rPr>
                <w:rFonts w:ascii="Verdana" w:hAnsi="Verdana"/>
                <w:sz w:val="18"/>
                <w:szCs w:val="18"/>
              </w:rPr>
            </w:pPr>
            <w:r w:rsidRPr="009E3570">
              <w:rPr>
                <w:rFonts w:ascii="Verdana" w:hAnsi="Verdana"/>
                <w:sz w:val="18"/>
                <w:szCs w:val="18"/>
              </w:rPr>
              <w:t>Agreeableness</w:t>
            </w:r>
          </w:p>
        </w:tc>
        <w:tc>
          <w:tcPr>
            <w:tcW w:w="1050" w:type="pct"/>
            <w:shd w:val="clear" w:color="auto" w:fill="auto"/>
            <w:noWrap/>
            <w:vAlign w:val="center"/>
            <w:hideMark/>
          </w:tcPr>
          <w:p w14:paraId="3B562D30" w14:textId="77777777" w:rsidR="007E1F8A" w:rsidRPr="009E3570" w:rsidRDefault="007E1F8A" w:rsidP="005534E0">
            <w:pPr>
              <w:ind w:left="603"/>
              <w:rPr>
                <w:rFonts w:ascii="Verdana" w:hAnsi="Verdana"/>
                <w:sz w:val="18"/>
                <w:szCs w:val="18"/>
              </w:rPr>
            </w:pPr>
            <w:r w:rsidRPr="009E3570">
              <w:rPr>
                <w:rFonts w:ascii="Verdana" w:hAnsi="Verdana"/>
                <w:sz w:val="18"/>
                <w:szCs w:val="18"/>
              </w:rPr>
              <w:t>5</w:t>
            </w:r>
          </w:p>
        </w:tc>
        <w:tc>
          <w:tcPr>
            <w:tcW w:w="1679" w:type="pct"/>
            <w:shd w:val="clear" w:color="auto" w:fill="auto"/>
            <w:noWrap/>
            <w:vAlign w:val="center"/>
            <w:hideMark/>
          </w:tcPr>
          <w:p w14:paraId="74107069" w14:textId="77777777" w:rsidR="007E1F8A" w:rsidRPr="009E3570" w:rsidRDefault="007E1F8A" w:rsidP="005534E0">
            <w:pPr>
              <w:ind w:left="930"/>
              <w:rPr>
                <w:rFonts w:ascii="Verdana" w:hAnsi="Verdana"/>
                <w:sz w:val="18"/>
                <w:szCs w:val="18"/>
              </w:rPr>
            </w:pPr>
            <w:r w:rsidRPr="009E3570">
              <w:rPr>
                <w:rFonts w:ascii="Verdana" w:hAnsi="Verdana"/>
                <w:sz w:val="18"/>
                <w:szCs w:val="18"/>
              </w:rPr>
              <w:t>0.920</w:t>
            </w:r>
          </w:p>
        </w:tc>
      </w:tr>
      <w:tr w:rsidR="007E1F8A" w:rsidRPr="009E3570" w14:paraId="5A2545A7" w14:textId="77777777" w:rsidTr="009E3570">
        <w:trPr>
          <w:trHeight w:val="20"/>
        </w:trPr>
        <w:tc>
          <w:tcPr>
            <w:tcW w:w="2271" w:type="pct"/>
            <w:shd w:val="clear" w:color="auto" w:fill="auto"/>
            <w:noWrap/>
            <w:vAlign w:val="center"/>
            <w:hideMark/>
          </w:tcPr>
          <w:p w14:paraId="0D43B5E9" w14:textId="77777777" w:rsidR="007E1F8A" w:rsidRPr="009E3570" w:rsidRDefault="007E1F8A" w:rsidP="005534E0">
            <w:pPr>
              <w:ind w:left="270"/>
              <w:rPr>
                <w:rFonts w:ascii="Verdana" w:hAnsi="Verdana"/>
                <w:sz w:val="18"/>
                <w:szCs w:val="18"/>
              </w:rPr>
            </w:pPr>
            <w:r w:rsidRPr="009E3570">
              <w:rPr>
                <w:rFonts w:ascii="Verdana" w:hAnsi="Verdana"/>
                <w:sz w:val="18"/>
                <w:szCs w:val="18"/>
              </w:rPr>
              <w:t>Neuroticism</w:t>
            </w:r>
          </w:p>
        </w:tc>
        <w:tc>
          <w:tcPr>
            <w:tcW w:w="1050" w:type="pct"/>
            <w:shd w:val="clear" w:color="auto" w:fill="auto"/>
            <w:noWrap/>
            <w:vAlign w:val="center"/>
            <w:hideMark/>
          </w:tcPr>
          <w:p w14:paraId="79A669D5" w14:textId="77777777" w:rsidR="007E1F8A" w:rsidRPr="009E3570" w:rsidRDefault="007E1F8A" w:rsidP="005534E0">
            <w:pPr>
              <w:ind w:left="603"/>
              <w:rPr>
                <w:rFonts w:ascii="Verdana" w:hAnsi="Verdana"/>
                <w:sz w:val="18"/>
                <w:szCs w:val="18"/>
              </w:rPr>
            </w:pPr>
            <w:r w:rsidRPr="009E3570">
              <w:rPr>
                <w:rFonts w:ascii="Verdana" w:hAnsi="Verdana"/>
                <w:sz w:val="18"/>
                <w:szCs w:val="18"/>
              </w:rPr>
              <w:t>5</w:t>
            </w:r>
          </w:p>
        </w:tc>
        <w:tc>
          <w:tcPr>
            <w:tcW w:w="1679" w:type="pct"/>
            <w:shd w:val="clear" w:color="auto" w:fill="auto"/>
            <w:noWrap/>
            <w:vAlign w:val="center"/>
            <w:hideMark/>
          </w:tcPr>
          <w:p w14:paraId="00370772" w14:textId="77777777" w:rsidR="007E1F8A" w:rsidRPr="009E3570" w:rsidRDefault="007E1F8A" w:rsidP="005534E0">
            <w:pPr>
              <w:ind w:left="930"/>
              <w:rPr>
                <w:rFonts w:ascii="Verdana" w:hAnsi="Verdana"/>
                <w:sz w:val="18"/>
                <w:szCs w:val="18"/>
              </w:rPr>
            </w:pPr>
            <w:r w:rsidRPr="009E3570">
              <w:rPr>
                <w:rFonts w:ascii="Verdana" w:hAnsi="Verdana"/>
                <w:sz w:val="18"/>
                <w:szCs w:val="18"/>
              </w:rPr>
              <w:t>0.920</w:t>
            </w:r>
          </w:p>
        </w:tc>
      </w:tr>
    </w:tbl>
    <w:bookmarkEnd w:id="6"/>
    <w:p w14:paraId="62EDFC12" w14:textId="4D381E5C" w:rsidR="007E1F8A" w:rsidRDefault="007E1F8A" w:rsidP="00A60A82">
      <w:pPr>
        <w:rPr>
          <w:rFonts w:ascii="Verdana" w:hAnsi="Verdana"/>
          <w:sz w:val="18"/>
          <w:szCs w:val="18"/>
        </w:rPr>
      </w:pPr>
      <w:r w:rsidRPr="009E3570">
        <w:rPr>
          <w:rFonts w:ascii="Verdana" w:hAnsi="Verdana"/>
          <w:sz w:val="18"/>
          <w:szCs w:val="18"/>
        </w:rPr>
        <w:t xml:space="preserve">Source; </w:t>
      </w:r>
      <w:r w:rsidR="00916328">
        <w:rPr>
          <w:rFonts w:ascii="Verdana" w:hAnsi="Verdana"/>
          <w:sz w:val="18"/>
          <w:szCs w:val="18"/>
        </w:rPr>
        <w:t xml:space="preserve"> </w:t>
      </w:r>
      <w:hyperlink w:anchor="_ENREF_3" w:tooltip="Aleka, 2020 #51" w:history="1">
        <w:r w:rsidR="004372FE">
          <w:rPr>
            <w:rFonts w:ascii="Verdana" w:hAnsi="Verdana"/>
            <w:sz w:val="18"/>
            <w:szCs w:val="18"/>
          </w:rPr>
          <w:fldChar w:fldCharType="begin"/>
        </w:r>
        <w:r w:rsidR="004372FE">
          <w:rPr>
            <w:rFonts w:ascii="Verdana" w:hAnsi="Verdana"/>
            <w:sz w:val="18"/>
            <w:szCs w:val="18"/>
          </w:rPr>
          <w:instrText xml:space="preserve"> ADDIN EN.CITE &lt;EndNote&gt;&lt;Cite AuthorYear="1"&gt;&lt;Author&gt;Aleka&lt;/Author&gt;&lt;Year&gt;2020&lt;/Year&gt;&lt;RecNum&gt;51&lt;/RecNum&gt;&lt;DisplayText&gt;Aleka (2020)&lt;/DisplayText&gt;&lt;record&gt;&lt;rec-number&gt;51&lt;/rec-number&gt;&lt;foreign-keys&gt;&lt;key app="EN" db-id="v5ve2td2jxzxrxee0pdpwrv99fpre2frs20r" timestamp="1703962573"&gt;51&lt;/key&gt;&lt;/foreign-keys&gt;&lt;ref-type name="Report"&gt;27&lt;/ref-type&gt;&lt;contributors&gt;&lt;authors&gt;&lt;author&gt;Aleka, T. G. &lt;/author&gt;&lt;/authors&gt;&lt;/contributors&gt;&lt;titles&gt;&lt;title&gt;The Impact of Personality Traits and Demographic Characteristics on Risk Tolerance of Individual Investors. A Case of Bahir Dar City (Doctoral dissertation).&lt;/title&gt;&lt;/titles&gt;&lt;dates&gt;&lt;year&gt;2020&lt;/year&gt;&lt;/dates&gt;&lt;urls&gt;&lt;/urls&gt;&lt;/record&gt;&lt;/Cite&gt;&lt;/EndNote&gt;</w:instrText>
        </w:r>
        <w:r w:rsidR="004372FE">
          <w:rPr>
            <w:rFonts w:ascii="Verdana" w:hAnsi="Verdana"/>
            <w:sz w:val="18"/>
            <w:szCs w:val="18"/>
          </w:rPr>
          <w:fldChar w:fldCharType="separate"/>
        </w:r>
        <w:r w:rsidR="004372FE">
          <w:rPr>
            <w:rFonts w:ascii="Verdana" w:hAnsi="Verdana"/>
            <w:noProof/>
            <w:sz w:val="18"/>
            <w:szCs w:val="18"/>
          </w:rPr>
          <w:t>Aleka (2020)</w:t>
        </w:r>
        <w:r w:rsidR="004372FE">
          <w:rPr>
            <w:rFonts w:ascii="Verdana" w:hAnsi="Verdana"/>
            <w:sz w:val="18"/>
            <w:szCs w:val="18"/>
          </w:rPr>
          <w:fldChar w:fldCharType="end"/>
        </w:r>
      </w:hyperlink>
      <w:r w:rsidR="00916328">
        <w:rPr>
          <w:rFonts w:ascii="Verdana" w:hAnsi="Verdana"/>
          <w:sz w:val="18"/>
          <w:szCs w:val="18"/>
        </w:rPr>
        <w:t xml:space="preserve"> </w:t>
      </w:r>
    </w:p>
    <w:p w14:paraId="58C39A03" w14:textId="77777777" w:rsidR="009E3570" w:rsidRPr="009E3570" w:rsidRDefault="009E3570" w:rsidP="007E1F8A">
      <w:pPr>
        <w:rPr>
          <w:rFonts w:ascii="Verdana" w:hAnsi="Verdana"/>
          <w:sz w:val="20"/>
          <w:szCs w:val="20"/>
        </w:rPr>
      </w:pPr>
    </w:p>
    <w:p w14:paraId="5EEC360C" w14:textId="77777777" w:rsidR="007E1F8A" w:rsidRPr="009E3570" w:rsidRDefault="007E1F8A" w:rsidP="009E3570">
      <w:pPr>
        <w:pStyle w:val="ListParagraph"/>
        <w:numPr>
          <w:ilvl w:val="2"/>
          <w:numId w:val="39"/>
        </w:numPr>
        <w:ind w:left="709"/>
        <w:rPr>
          <w:rFonts w:ascii="Verdana" w:hAnsi="Verdana"/>
          <w:b/>
          <w:sz w:val="22"/>
          <w:szCs w:val="22"/>
        </w:rPr>
      </w:pPr>
      <w:r w:rsidRPr="009E3570">
        <w:rPr>
          <w:rFonts w:ascii="Verdana" w:hAnsi="Verdana"/>
          <w:b/>
          <w:sz w:val="22"/>
          <w:szCs w:val="22"/>
        </w:rPr>
        <w:t xml:space="preserve">Validity of the tool </w:t>
      </w:r>
    </w:p>
    <w:p w14:paraId="2A1B0218" w14:textId="77777777" w:rsidR="009E3570" w:rsidRDefault="009E3570" w:rsidP="009E3570">
      <w:pPr>
        <w:ind w:left="0" w:firstLine="709"/>
        <w:rPr>
          <w:rFonts w:ascii="Verdana" w:hAnsi="Verdana"/>
          <w:sz w:val="20"/>
          <w:szCs w:val="20"/>
        </w:rPr>
      </w:pPr>
    </w:p>
    <w:p w14:paraId="26E25FB3" w14:textId="28114914" w:rsidR="007E1F8A" w:rsidRDefault="007E1F8A" w:rsidP="00A60A82">
      <w:pPr>
        <w:ind w:left="0" w:firstLine="709"/>
        <w:rPr>
          <w:rFonts w:ascii="Verdana" w:hAnsi="Verdana"/>
          <w:sz w:val="20"/>
          <w:szCs w:val="20"/>
        </w:rPr>
      </w:pPr>
      <w:r w:rsidRPr="00195E39">
        <w:rPr>
          <w:rFonts w:ascii="Verdana" w:hAnsi="Verdana"/>
          <w:sz w:val="20"/>
          <w:szCs w:val="20"/>
        </w:rPr>
        <w:t>For validity check the scholar has already mentioned that he picked the instrument from</w:t>
      </w:r>
      <w:r w:rsidR="00372BB7">
        <w:rPr>
          <w:rFonts w:ascii="Verdana" w:hAnsi="Verdana"/>
          <w:sz w:val="20"/>
          <w:szCs w:val="20"/>
        </w:rPr>
        <w:t xml:space="preserve"> </w:t>
      </w:r>
      <w:hyperlink w:anchor="_ENREF_3" w:tooltip="Aleka, 2020 #51"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AuthorYear="1"&gt;&lt;Author&gt;Aleka&lt;/Author&gt;&lt;Year&gt;2020&lt;/Year&gt;&lt;RecNum&gt;51&lt;/RecNum&gt;&lt;DisplayText&gt;Aleka (2020)&lt;/DisplayText&gt;&lt;record&gt;&lt;rec-number&gt;51&lt;/rec-number&gt;&lt;foreign-keys&gt;&lt;key app="EN" db-id="v5ve2td2jxzxrxee0pdpwrv99fpre2frs20r" timestamp="1703962573"&gt;51&lt;/key&gt;&lt;/foreign-keys&gt;&lt;ref-type name="Report"&gt;27&lt;/ref-type&gt;&lt;contributors&gt;&lt;authors&gt;&lt;author&gt;Aleka, T. G. &lt;/author&gt;&lt;/authors&gt;&lt;/contributors&gt;&lt;titles&gt;&lt;title&gt;The Impact of Personality Traits and Demographic Characteristics on Risk Tolerance of Individual Investors. A Case of Bahir Dar City (Doctoral dissertation).&lt;/title&gt;&lt;/titles&gt;&lt;dates&gt;&lt;year&gt;2020&lt;/year&gt;&lt;/dates&gt;&lt;urls&gt;&lt;/urls&gt;&lt;/record&gt;&lt;/Cite&gt;&lt;/EndNote&gt;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Aleka (2020)</w:t>
        </w:r>
        <w:r w:rsidR="004372FE">
          <w:rPr>
            <w:rFonts w:ascii="Verdana" w:hAnsi="Verdana"/>
            <w:sz w:val="20"/>
            <w:szCs w:val="20"/>
          </w:rPr>
          <w:fldChar w:fldCharType="end"/>
        </w:r>
      </w:hyperlink>
      <w:r w:rsidR="00372BB7">
        <w:rPr>
          <w:rFonts w:ascii="Verdana" w:hAnsi="Verdana"/>
          <w:sz w:val="20"/>
          <w:szCs w:val="20"/>
        </w:rPr>
        <w:t xml:space="preserve">, </w:t>
      </w:r>
      <w:r w:rsidRPr="00195E39">
        <w:rPr>
          <w:rFonts w:ascii="Verdana" w:hAnsi="Verdana"/>
          <w:sz w:val="20"/>
          <w:szCs w:val="20"/>
        </w:rPr>
        <w:t>who adopted the same questionnaire with some modification from</w:t>
      </w:r>
      <w:r w:rsidR="003773BD">
        <w:rPr>
          <w:rFonts w:ascii="Verdana" w:hAnsi="Verdana"/>
          <w:sz w:val="20"/>
          <w:szCs w:val="20"/>
        </w:rPr>
        <w:t xml:space="preserve"> </w:t>
      </w:r>
      <w:r w:rsidR="003773BD">
        <w:rPr>
          <w:rFonts w:ascii="Verdana" w:hAnsi="Verdana"/>
          <w:sz w:val="20"/>
          <w:szCs w:val="20"/>
        </w:rPr>
        <w:fldChar w:fldCharType="begin"/>
      </w:r>
      <w:r w:rsidR="00A60A82">
        <w:rPr>
          <w:rFonts w:ascii="Verdana" w:hAnsi="Verdana"/>
          <w:sz w:val="20"/>
          <w:szCs w:val="20"/>
        </w:rPr>
        <w:instrText xml:space="preserve"> ADDIN EN.CITE &lt;EndNote&gt;&lt;Cite AuthorYear="1"&gt;&lt;Author&gt;Mayfield&lt;/Author&gt;&lt;Year&gt;2008&lt;/Year&gt;&lt;RecNum&gt;52&lt;/RecNum&gt;&lt;DisplayText&gt;Mayfield et al. (2008); Pak and Mahmood (2015)&lt;/DisplayText&gt;&lt;record&gt;&lt;rec-number&gt;52&lt;/rec-number&gt;&lt;foreign-keys&gt;&lt;key app="EN" db-id="v5ve2td2jxzxrxee0pdpwrv99fpre2frs20r" timestamp="1703962776"&gt;52&lt;/key&gt;&lt;/foreign-keys&gt;&lt;ref-type name="Journal Article"&gt;17&lt;/ref-type&gt;&lt;contributors&gt;&lt;authors&gt;&lt;author&gt;Mayfield, Cliff&lt;/author&gt;&lt;author&gt;Perdue, Grady&lt;/author&gt;&lt;author&gt;Wooten, Kevin&lt;/author&gt;&lt;/authors&gt;&lt;/contributors&gt;&lt;titles&gt;&lt;title&gt;Investment management and personality type&lt;/title&gt;&lt;secondary-title&gt;Financial services review&lt;/secondary-title&gt;&lt;/titles&gt;&lt;periodical&gt;&lt;full-title&gt;Financial Services Review&lt;/full-title&gt;&lt;/periodical&gt;&lt;pages&gt;219-236&lt;/pages&gt;&lt;volume&gt;17&lt;/volume&gt;&lt;number&gt;3&lt;/number&gt;&lt;dates&gt;&lt;year&gt;2008&lt;/year&gt;&lt;/dates&gt;&lt;isbn&gt;1057-0810&lt;/isbn&gt;&lt;urls&gt;&lt;/urls&gt;&lt;/record&gt;&lt;/Cite&gt;&lt;Cite AuthorYear="1"&gt;&lt;Author&gt;Pak&lt;/Author&gt;&lt;Year&gt;2015&lt;/Year&gt;&lt;RecNum&gt;34&lt;/RecNum&gt;&lt;record&gt;&lt;rec-number&gt;34&lt;/rec-number&gt;&lt;foreign-keys&gt;&lt;key app="EN" db-id="v5ve2td2jxzxrxee0pdpwrv99fpre2frs20r" timestamp="1703959368"&gt;34&lt;/key&gt;&lt;/foreign-keys&gt;&lt;ref-type name="Journal Article"&gt;17&lt;/ref-type&gt;&lt;contributors&gt;&lt;authors&gt;&lt;author&gt;Pak, Olga&lt;/author&gt;&lt;author&gt;Mahmood, Monowar&lt;/author&gt;&lt;/authors&gt;&lt;/contributors&gt;&lt;titles&gt;&lt;title&gt;Impact of personality on risk tolerance and investment decisions: A study on potential investors of Kazakhstan&lt;/title&gt;&lt;secondary-title&gt;International Journal of Commerce and Management&lt;/secondary-title&gt;&lt;/titles&gt;&lt;periodical&gt;&lt;full-title&gt;International Journal of Commerce and Management&lt;/full-title&gt;&lt;/periodical&gt;&lt;pages&gt;370-384&lt;/pages&gt;&lt;volume&gt;25&lt;/volume&gt;&lt;number&gt;4&lt;/number&gt;&lt;dates&gt;&lt;year&gt;2015&lt;/year&gt;&lt;/dates&gt;&lt;isbn&gt;1056-9219&lt;/isbn&gt;&lt;urls&gt;&lt;/urls&gt;&lt;electronic-resource-num&gt;https://doi.org/10.1108/IJCoMA-01-2013-0002&lt;/electronic-resource-num&gt;&lt;/record&gt;&lt;/Cite&gt;&lt;/EndNote&gt;</w:instrText>
      </w:r>
      <w:r w:rsidR="003773BD">
        <w:rPr>
          <w:rFonts w:ascii="Verdana" w:hAnsi="Verdana"/>
          <w:sz w:val="20"/>
          <w:szCs w:val="20"/>
        </w:rPr>
        <w:fldChar w:fldCharType="separate"/>
      </w:r>
      <w:hyperlink w:anchor="_ENREF_42" w:tooltip="Mayfield, 2008 #52" w:history="1">
        <w:r w:rsidR="004372FE">
          <w:rPr>
            <w:rFonts w:ascii="Verdana" w:hAnsi="Verdana"/>
            <w:noProof/>
            <w:sz w:val="20"/>
            <w:szCs w:val="20"/>
          </w:rPr>
          <w:t>Mayfield et al. (2008)</w:t>
        </w:r>
      </w:hyperlink>
      <w:r w:rsidR="00A60A82">
        <w:rPr>
          <w:rFonts w:ascii="Verdana" w:hAnsi="Verdana"/>
          <w:noProof/>
          <w:sz w:val="20"/>
          <w:szCs w:val="20"/>
        </w:rPr>
        <w:t xml:space="preserve">; </w:t>
      </w:r>
      <w:hyperlink w:anchor="_ENREF_51" w:tooltip="Pak, 2015 #34" w:history="1">
        <w:r w:rsidR="004372FE">
          <w:rPr>
            <w:rFonts w:ascii="Verdana" w:hAnsi="Verdana"/>
            <w:noProof/>
            <w:sz w:val="20"/>
            <w:szCs w:val="20"/>
          </w:rPr>
          <w:t>Pak and Mahmood (2015)</w:t>
        </w:r>
      </w:hyperlink>
      <w:r w:rsidR="003773BD">
        <w:rPr>
          <w:rFonts w:ascii="Verdana" w:hAnsi="Verdana"/>
          <w:sz w:val="20"/>
          <w:szCs w:val="20"/>
        </w:rPr>
        <w:fldChar w:fldCharType="end"/>
      </w:r>
      <w:r w:rsidR="003773BD">
        <w:rPr>
          <w:rFonts w:ascii="Verdana" w:hAnsi="Verdana"/>
          <w:sz w:val="20"/>
          <w:szCs w:val="20"/>
        </w:rPr>
        <w:t xml:space="preserve"> </w:t>
      </w:r>
      <w:r w:rsidRPr="00195E39">
        <w:rPr>
          <w:rFonts w:ascii="Verdana" w:hAnsi="Verdana"/>
          <w:sz w:val="20"/>
          <w:szCs w:val="20"/>
        </w:rPr>
        <w:t>the reliability and validity of the instrument has already been established by the cited scholars.</w:t>
      </w:r>
    </w:p>
    <w:p w14:paraId="5E79DE56" w14:textId="77777777" w:rsidR="009E3570" w:rsidRPr="00195E39" w:rsidRDefault="009E3570" w:rsidP="009E3570">
      <w:pPr>
        <w:ind w:left="0" w:firstLine="709"/>
        <w:rPr>
          <w:rFonts w:ascii="Verdana" w:hAnsi="Verdana"/>
          <w:sz w:val="20"/>
          <w:szCs w:val="20"/>
        </w:rPr>
      </w:pPr>
    </w:p>
    <w:p w14:paraId="557E1ABC" w14:textId="77777777" w:rsidR="007E1F8A" w:rsidRPr="009E3570" w:rsidRDefault="007E1F8A" w:rsidP="009E3570">
      <w:pPr>
        <w:pStyle w:val="ListParagraph"/>
        <w:numPr>
          <w:ilvl w:val="0"/>
          <w:numId w:val="39"/>
        </w:numPr>
        <w:ind w:hanging="720"/>
        <w:jc w:val="left"/>
        <w:rPr>
          <w:rFonts w:ascii="Verdana" w:hAnsi="Verdana"/>
          <w:b/>
          <w:sz w:val="22"/>
          <w:szCs w:val="22"/>
        </w:rPr>
      </w:pPr>
      <w:r w:rsidRPr="009E3570">
        <w:rPr>
          <w:rFonts w:ascii="Verdana" w:hAnsi="Verdana"/>
          <w:b/>
          <w:sz w:val="22"/>
          <w:szCs w:val="22"/>
        </w:rPr>
        <w:t>Result and Discussion</w:t>
      </w:r>
    </w:p>
    <w:p w14:paraId="523507CD" w14:textId="77777777" w:rsidR="009E3570" w:rsidRDefault="009E3570" w:rsidP="009E3570">
      <w:pPr>
        <w:ind w:left="0" w:firstLine="720"/>
        <w:rPr>
          <w:rFonts w:ascii="Verdana" w:hAnsi="Verdana"/>
          <w:sz w:val="20"/>
          <w:szCs w:val="20"/>
        </w:rPr>
      </w:pPr>
    </w:p>
    <w:p w14:paraId="61D48DCA" w14:textId="081CC16C" w:rsidR="007E1F8A" w:rsidRDefault="007E1F8A" w:rsidP="009E3570">
      <w:pPr>
        <w:ind w:left="0" w:firstLine="720"/>
        <w:rPr>
          <w:rFonts w:ascii="Verdana" w:hAnsi="Verdana"/>
          <w:sz w:val="20"/>
          <w:szCs w:val="20"/>
        </w:rPr>
      </w:pPr>
      <w:r w:rsidRPr="00195E39">
        <w:rPr>
          <w:rFonts w:ascii="Verdana" w:hAnsi="Verdana"/>
          <w:sz w:val="20"/>
          <w:szCs w:val="20"/>
        </w:rPr>
        <w:t>In this section, we present an overview of the demographic characteristics of the participants, encompassing gender, age, marital status, education level, and net annual income of individual investors. To convey this information effectively, a descriptive statistics table is utilized, providing frequencies and percentages for each demographic feature.</w:t>
      </w:r>
    </w:p>
    <w:p w14:paraId="1DDD7360" w14:textId="77777777" w:rsidR="009E3570" w:rsidRPr="00195E39" w:rsidRDefault="009E3570" w:rsidP="009E3570">
      <w:pPr>
        <w:ind w:left="0" w:firstLine="720"/>
        <w:rPr>
          <w:rFonts w:ascii="Verdana" w:hAnsi="Verdana"/>
          <w:sz w:val="20"/>
          <w:szCs w:val="20"/>
        </w:rPr>
      </w:pPr>
    </w:p>
    <w:p w14:paraId="32506303" w14:textId="0830400F" w:rsidR="007E1F8A" w:rsidRPr="00195E39" w:rsidRDefault="007E1F8A" w:rsidP="009E3570">
      <w:pPr>
        <w:pStyle w:val="ListParagraph"/>
        <w:numPr>
          <w:ilvl w:val="1"/>
          <w:numId w:val="39"/>
        </w:numPr>
        <w:ind w:hanging="720"/>
        <w:rPr>
          <w:rFonts w:ascii="Verdana" w:hAnsi="Verdana"/>
          <w:b/>
          <w:sz w:val="20"/>
          <w:szCs w:val="20"/>
        </w:rPr>
      </w:pPr>
      <w:r w:rsidRPr="009E3570">
        <w:rPr>
          <w:rFonts w:ascii="Verdana" w:hAnsi="Verdana"/>
          <w:b/>
          <w:sz w:val="22"/>
          <w:szCs w:val="22"/>
        </w:rPr>
        <w:lastRenderedPageBreak/>
        <w:t>Demographic Characteristics of the Respondents</w:t>
      </w:r>
    </w:p>
    <w:p w14:paraId="3877064C" w14:textId="77777777" w:rsidR="009E3570" w:rsidRDefault="009E3570" w:rsidP="009E3570">
      <w:pPr>
        <w:ind w:left="0" w:firstLine="720"/>
        <w:rPr>
          <w:rFonts w:ascii="Verdana" w:hAnsi="Verdana"/>
          <w:sz w:val="20"/>
          <w:szCs w:val="20"/>
        </w:rPr>
      </w:pPr>
    </w:p>
    <w:p w14:paraId="50F341C1" w14:textId="539FE73E" w:rsidR="007E1F8A" w:rsidRPr="00195E39" w:rsidRDefault="007E1F8A" w:rsidP="009E3570">
      <w:pPr>
        <w:ind w:left="0" w:firstLine="720"/>
        <w:rPr>
          <w:rFonts w:ascii="Verdana" w:hAnsi="Verdana"/>
          <w:sz w:val="20"/>
          <w:szCs w:val="20"/>
        </w:rPr>
      </w:pPr>
      <w:r w:rsidRPr="00195E39">
        <w:rPr>
          <w:rFonts w:ascii="Verdana" w:hAnsi="Verdana"/>
          <w:sz w:val="20"/>
          <w:szCs w:val="20"/>
        </w:rPr>
        <w:t>The demographic profile of real estate investors in Lower Dir, as presented in Table 2. reveals several key trends. The majority of respondents are male (70.1%), indicating a male-dominated society where women's participation in investment is limited, possibly due to traditional familial responsibilities. Nevertheless, the study acknowledges a noteworthy 29.9% female investor representation. The age distribution of investors highlights a concentration in the 20-45 age group (76.4%), reflecting an economically active population. Married individuals constitute 56% of respondents, suggesting a correlation between familial responsibilities and economic participation. Education levels also play a role, with 39.4% holding master's or higher degrees, emphasizing the connection between education and investment awareness. Lastly, the income distribution indicates that a significant portion of respondents (44.7%) have a monthly income less than or equal to Rs. 50,000, while 74.4% report adequate monthly income, creating favorable conditions for investment.</w:t>
      </w:r>
    </w:p>
    <w:p w14:paraId="39C23920" w14:textId="77777777" w:rsidR="009E3570" w:rsidRDefault="009E3570" w:rsidP="007E1F8A">
      <w:pPr>
        <w:rPr>
          <w:rFonts w:ascii="Verdana" w:hAnsi="Verdana"/>
          <w:b/>
          <w:bCs/>
          <w:sz w:val="20"/>
          <w:szCs w:val="20"/>
        </w:rPr>
      </w:pPr>
    </w:p>
    <w:p w14:paraId="1F2E76E3" w14:textId="6F7D164C" w:rsidR="007E1F8A" w:rsidRPr="00195E39" w:rsidRDefault="007E1F8A" w:rsidP="007E1F8A">
      <w:pPr>
        <w:rPr>
          <w:rFonts w:ascii="Verdana" w:hAnsi="Verdana"/>
          <w:sz w:val="20"/>
          <w:szCs w:val="20"/>
        </w:rPr>
      </w:pPr>
      <w:r w:rsidRPr="00195E39">
        <w:rPr>
          <w:rFonts w:ascii="Verdana" w:hAnsi="Verdana"/>
          <w:b/>
          <w:bCs/>
          <w:sz w:val="20"/>
          <w:szCs w:val="20"/>
        </w:rPr>
        <w:t>Table 2</w:t>
      </w:r>
    </w:p>
    <w:p w14:paraId="549399E9" w14:textId="2F163B1F" w:rsidR="007E1F8A" w:rsidRPr="009E3570" w:rsidRDefault="007E1F8A" w:rsidP="007E1F8A">
      <w:pPr>
        <w:rPr>
          <w:rFonts w:ascii="Verdana" w:hAnsi="Verdana"/>
          <w:b/>
          <w:bCs/>
          <w:i/>
          <w:iCs/>
          <w:sz w:val="20"/>
          <w:szCs w:val="20"/>
        </w:rPr>
      </w:pPr>
      <w:r w:rsidRPr="009E3570">
        <w:rPr>
          <w:rFonts w:ascii="Verdana" w:hAnsi="Verdana"/>
          <w:b/>
          <w:bCs/>
          <w:i/>
          <w:iCs/>
          <w:sz w:val="20"/>
          <w:szCs w:val="20"/>
        </w:rPr>
        <w:t xml:space="preserve">Respondents’ </w:t>
      </w:r>
      <w:r w:rsidR="009E3570">
        <w:rPr>
          <w:rFonts w:ascii="Verdana" w:hAnsi="Verdana"/>
          <w:b/>
          <w:bCs/>
          <w:i/>
          <w:iCs/>
          <w:sz w:val="20"/>
          <w:szCs w:val="20"/>
        </w:rPr>
        <w:t>D</w:t>
      </w:r>
      <w:r w:rsidRPr="009E3570">
        <w:rPr>
          <w:rFonts w:ascii="Verdana" w:hAnsi="Verdana"/>
          <w:b/>
          <w:bCs/>
          <w:i/>
          <w:iCs/>
          <w:sz w:val="20"/>
          <w:szCs w:val="20"/>
        </w:rPr>
        <w:t xml:space="preserve">emographic </w:t>
      </w:r>
      <w:r w:rsidR="009E3570">
        <w:rPr>
          <w:rFonts w:ascii="Verdana" w:hAnsi="Verdana"/>
          <w:b/>
          <w:bCs/>
          <w:i/>
          <w:iCs/>
          <w:sz w:val="20"/>
          <w:szCs w:val="20"/>
        </w:rPr>
        <w:t>C</w:t>
      </w:r>
      <w:r w:rsidRPr="009E3570">
        <w:rPr>
          <w:rFonts w:ascii="Verdana" w:hAnsi="Verdana"/>
          <w:b/>
          <w:bCs/>
          <w:i/>
          <w:iCs/>
          <w:sz w:val="20"/>
          <w:szCs w:val="20"/>
        </w:rPr>
        <w:t>haracteristics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1"/>
        <w:gridCol w:w="2252"/>
        <w:gridCol w:w="1709"/>
        <w:gridCol w:w="1367"/>
        <w:gridCol w:w="1707"/>
      </w:tblGrid>
      <w:tr w:rsidR="007E1F8A" w:rsidRPr="009E3570" w14:paraId="459144F8" w14:textId="77777777" w:rsidTr="00FB292D">
        <w:trPr>
          <w:trHeight w:val="20"/>
        </w:trPr>
        <w:tc>
          <w:tcPr>
            <w:tcW w:w="1439" w:type="pct"/>
            <w:tcBorders>
              <w:top w:val="single" w:sz="4" w:space="0" w:color="auto"/>
              <w:bottom w:val="single" w:sz="4" w:space="0" w:color="auto"/>
            </w:tcBorders>
            <w:vAlign w:val="center"/>
          </w:tcPr>
          <w:p w14:paraId="3D84695E" w14:textId="77777777" w:rsidR="007E1F8A" w:rsidRPr="006D559E" w:rsidRDefault="007E1F8A" w:rsidP="00FB292D">
            <w:pPr>
              <w:ind w:left="0" w:firstLine="0"/>
              <w:rPr>
                <w:rFonts w:ascii="Verdana" w:eastAsia="Calibri" w:hAnsi="Verdana"/>
                <w:b/>
                <w:bCs/>
                <w:sz w:val="18"/>
                <w:szCs w:val="18"/>
              </w:rPr>
            </w:pPr>
            <w:r w:rsidRPr="006D559E">
              <w:rPr>
                <w:rFonts w:ascii="Verdana" w:eastAsia="Calibri" w:hAnsi="Verdana"/>
                <w:b/>
                <w:bCs/>
                <w:sz w:val="18"/>
                <w:szCs w:val="18"/>
              </w:rPr>
              <w:t>Variables</w:t>
            </w:r>
          </w:p>
        </w:tc>
        <w:tc>
          <w:tcPr>
            <w:tcW w:w="1140" w:type="pct"/>
            <w:tcBorders>
              <w:top w:val="single" w:sz="4" w:space="0" w:color="auto"/>
              <w:bottom w:val="single" w:sz="4" w:space="0" w:color="auto"/>
            </w:tcBorders>
            <w:vAlign w:val="center"/>
          </w:tcPr>
          <w:p w14:paraId="1BCB204E" w14:textId="77777777" w:rsidR="007E1F8A" w:rsidRPr="006D559E" w:rsidRDefault="007E1F8A" w:rsidP="006D559E">
            <w:pPr>
              <w:ind w:left="0" w:firstLine="0"/>
              <w:rPr>
                <w:rFonts w:ascii="Verdana" w:eastAsia="Calibri" w:hAnsi="Verdana"/>
                <w:b/>
                <w:bCs/>
                <w:sz w:val="18"/>
                <w:szCs w:val="18"/>
              </w:rPr>
            </w:pPr>
            <w:r w:rsidRPr="006D559E">
              <w:rPr>
                <w:rFonts w:ascii="Verdana" w:eastAsia="Calibri" w:hAnsi="Verdana"/>
                <w:b/>
                <w:bCs/>
                <w:sz w:val="18"/>
                <w:szCs w:val="18"/>
              </w:rPr>
              <w:t>Category</w:t>
            </w:r>
          </w:p>
        </w:tc>
        <w:tc>
          <w:tcPr>
            <w:tcW w:w="865" w:type="pct"/>
            <w:tcBorders>
              <w:top w:val="single" w:sz="4" w:space="0" w:color="auto"/>
              <w:bottom w:val="single" w:sz="4" w:space="0" w:color="auto"/>
            </w:tcBorders>
            <w:vAlign w:val="center"/>
          </w:tcPr>
          <w:p w14:paraId="5AA30C0D" w14:textId="77777777" w:rsidR="007E1F8A" w:rsidRPr="006D559E" w:rsidRDefault="007E1F8A" w:rsidP="006D559E">
            <w:pPr>
              <w:ind w:left="0" w:firstLine="0"/>
              <w:rPr>
                <w:rFonts w:ascii="Verdana" w:eastAsia="Calibri" w:hAnsi="Verdana"/>
                <w:b/>
                <w:bCs/>
                <w:sz w:val="18"/>
                <w:szCs w:val="18"/>
              </w:rPr>
            </w:pPr>
            <w:r w:rsidRPr="006D559E">
              <w:rPr>
                <w:rFonts w:ascii="Verdana" w:eastAsia="Calibri" w:hAnsi="Verdana"/>
                <w:b/>
                <w:bCs/>
                <w:sz w:val="18"/>
                <w:szCs w:val="18"/>
              </w:rPr>
              <w:t>Frequency</w:t>
            </w:r>
          </w:p>
        </w:tc>
        <w:tc>
          <w:tcPr>
            <w:tcW w:w="692" w:type="pct"/>
            <w:tcBorders>
              <w:top w:val="single" w:sz="4" w:space="0" w:color="auto"/>
              <w:bottom w:val="single" w:sz="4" w:space="0" w:color="auto"/>
            </w:tcBorders>
            <w:vAlign w:val="center"/>
          </w:tcPr>
          <w:p w14:paraId="3C124602" w14:textId="77777777" w:rsidR="007E1F8A" w:rsidRPr="006D559E" w:rsidRDefault="007E1F8A" w:rsidP="006D559E">
            <w:pPr>
              <w:ind w:left="0" w:firstLine="0"/>
              <w:rPr>
                <w:rFonts w:ascii="Verdana" w:eastAsia="Calibri" w:hAnsi="Verdana"/>
                <w:b/>
                <w:bCs/>
                <w:sz w:val="18"/>
                <w:szCs w:val="18"/>
              </w:rPr>
            </w:pPr>
            <w:r w:rsidRPr="006D559E">
              <w:rPr>
                <w:rFonts w:ascii="Verdana" w:eastAsia="Calibri" w:hAnsi="Verdana"/>
                <w:b/>
                <w:bCs/>
                <w:sz w:val="18"/>
                <w:szCs w:val="18"/>
              </w:rPr>
              <w:t>Percent</w:t>
            </w:r>
          </w:p>
        </w:tc>
        <w:tc>
          <w:tcPr>
            <w:tcW w:w="864" w:type="pct"/>
            <w:tcBorders>
              <w:top w:val="single" w:sz="4" w:space="0" w:color="auto"/>
              <w:bottom w:val="single" w:sz="4" w:space="0" w:color="auto"/>
            </w:tcBorders>
            <w:vAlign w:val="center"/>
          </w:tcPr>
          <w:p w14:paraId="24149B29" w14:textId="77777777" w:rsidR="007E1F8A" w:rsidRPr="006D559E" w:rsidRDefault="007E1F8A" w:rsidP="006D559E">
            <w:pPr>
              <w:ind w:left="0" w:firstLine="0"/>
              <w:rPr>
                <w:rFonts w:ascii="Verdana" w:eastAsia="Calibri" w:hAnsi="Verdana"/>
                <w:b/>
                <w:bCs/>
                <w:sz w:val="18"/>
                <w:szCs w:val="18"/>
              </w:rPr>
            </w:pPr>
            <w:r w:rsidRPr="006D559E">
              <w:rPr>
                <w:rFonts w:ascii="Verdana" w:eastAsia="Calibri" w:hAnsi="Verdana"/>
                <w:b/>
                <w:bCs/>
                <w:sz w:val="18"/>
                <w:szCs w:val="18"/>
              </w:rPr>
              <w:t>Cumulative</w:t>
            </w:r>
          </w:p>
        </w:tc>
      </w:tr>
      <w:tr w:rsidR="007E1F8A" w:rsidRPr="009E3570" w14:paraId="48540C3C" w14:textId="77777777" w:rsidTr="00FB292D">
        <w:trPr>
          <w:trHeight w:val="20"/>
        </w:trPr>
        <w:tc>
          <w:tcPr>
            <w:tcW w:w="1439" w:type="pct"/>
            <w:vMerge w:val="restart"/>
            <w:tcBorders>
              <w:top w:val="single" w:sz="4" w:space="0" w:color="auto"/>
            </w:tcBorders>
            <w:vAlign w:val="center"/>
          </w:tcPr>
          <w:p w14:paraId="710FA619"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Sex</w:t>
            </w:r>
          </w:p>
          <w:p w14:paraId="0063FC48" w14:textId="77777777" w:rsidR="007E1F8A" w:rsidRPr="00FB292D" w:rsidRDefault="007E1F8A" w:rsidP="00FB292D">
            <w:pPr>
              <w:ind w:left="0" w:firstLine="0"/>
              <w:rPr>
                <w:rFonts w:ascii="Verdana" w:eastAsia="Calibri" w:hAnsi="Verdana"/>
                <w:sz w:val="18"/>
                <w:szCs w:val="18"/>
              </w:rPr>
            </w:pPr>
          </w:p>
          <w:p w14:paraId="16D1F88D" w14:textId="77777777" w:rsidR="007E1F8A" w:rsidRPr="00FB292D" w:rsidRDefault="007E1F8A" w:rsidP="00FB292D">
            <w:pPr>
              <w:ind w:left="0" w:firstLine="0"/>
              <w:rPr>
                <w:rFonts w:ascii="Verdana" w:eastAsia="Calibri" w:hAnsi="Verdana"/>
                <w:sz w:val="18"/>
                <w:szCs w:val="18"/>
              </w:rPr>
            </w:pPr>
          </w:p>
        </w:tc>
        <w:tc>
          <w:tcPr>
            <w:tcW w:w="1140" w:type="pct"/>
            <w:tcBorders>
              <w:top w:val="single" w:sz="4" w:space="0" w:color="auto"/>
            </w:tcBorders>
            <w:vAlign w:val="center"/>
          </w:tcPr>
          <w:p w14:paraId="1038FB04"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Male</w:t>
            </w:r>
          </w:p>
        </w:tc>
        <w:tc>
          <w:tcPr>
            <w:tcW w:w="865" w:type="pct"/>
            <w:tcBorders>
              <w:top w:val="single" w:sz="4" w:space="0" w:color="auto"/>
            </w:tcBorders>
            <w:vAlign w:val="center"/>
          </w:tcPr>
          <w:p w14:paraId="7502765D"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199</w:t>
            </w:r>
          </w:p>
        </w:tc>
        <w:tc>
          <w:tcPr>
            <w:tcW w:w="692" w:type="pct"/>
            <w:tcBorders>
              <w:top w:val="single" w:sz="4" w:space="0" w:color="auto"/>
            </w:tcBorders>
            <w:vAlign w:val="center"/>
          </w:tcPr>
          <w:p w14:paraId="7A83BCBB"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70.1</w:t>
            </w:r>
          </w:p>
        </w:tc>
        <w:tc>
          <w:tcPr>
            <w:tcW w:w="864" w:type="pct"/>
            <w:tcBorders>
              <w:top w:val="single" w:sz="4" w:space="0" w:color="auto"/>
            </w:tcBorders>
            <w:vAlign w:val="center"/>
          </w:tcPr>
          <w:p w14:paraId="2AEC5A6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70.1</w:t>
            </w:r>
          </w:p>
        </w:tc>
      </w:tr>
      <w:tr w:rsidR="007E1F8A" w:rsidRPr="009E3570" w14:paraId="118998E8" w14:textId="77777777" w:rsidTr="00FB292D">
        <w:trPr>
          <w:trHeight w:val="20"/>
        </w:trPr>
        <w:tc>
          <w:tcPr>
            <w:tcW w:w="1439" w:type="pct"/>
            <w:vMerge/>
            <w:vAlign w:val="center"/>
          </w:tcPr>
          <w:p w14:paraId="5B664132"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7CE00E7A"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Female</w:t>
            </w:r>
          </w:p>
        </w:tc>
        <w:tc>
          <w:tcPr>
            <w:tcW w:w="865" w:type="pct"/>
            <w:vAlign w:val="center"/>
          </w:tcPr>
          <w:p w14:paraId="3A984D1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85</w:t>
            </w:r>
          </w:p>
        </w:tc>
        <w:tc>
          <w:tcPr>
            <w:tcW w:w="692" w:type="pct"/>
            <w:vAlign w:val="center"/>
          </w:tcPr>
          <w:p w14:paraId="7FD14AA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29.9</w:t>
            </w:r>
          </w:p>
        </w:tc>
        <w:tc>
          <w:tcPr>
            <w:tcW w:w="864" w:type="pct"/>
            <w:vAlign w:val="center"/>
          </w:tcPr>
          <w:p w14:paraId="1B29114E"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100.0</w:t>
            </w:r>
          </w:p>
        </w:tc>
      </w:tr>
      <w:tr w:rsidR="007E1F8A" w:rsidRPr="009E3570" w14:paraId="10BC3D3E" w14:textId="77777777" w:rsidTr="00FB292D">
        <w:trPr>
          <w:trHeight w:val="20"/>
        </w:trPr>
        <w:tc>
          <w:tcPr>
            <w:tcW w:w="1439" w:type="pct"/>
            <w:vMerge/>
            <w:vAlign w:val="center"/>
          </w:tcPr>
          <w:p w14:paraId="66BBBF44"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4BA57C6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Total</w:t>
            </w:r>
          </w:p>
        </w:tc>
        <w:tc>
          <w:tcPr>
            <w:tcW w:w="865" w:type="pct"/>
            <w:vAlign w:val="center"/>
          </w:tcPr>
          <w:p w14:paraId="26A16590"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284</w:t>
            </w:r>
          </w:p>
        </w:tc>
        <w:tc>
          <w:tcPr>
            <w:tcW w:w="692" w:type="pct"/>
            <w:vAlign w:val="center"/>
          </w:tcPr>
          <w:p w14:paraId="18C2145D"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100</w:t>
            </w:r>
          </w:p>
        </w:tc>
        <w:tc>
          <w:tcPr>
            <w:tcW w:w="864" w:type="pct"/>
            <w:vAlign w:val="center"/>
          </w:tcPr>
          <w:p w14:paraId="6893FF76" w14:textId="77777777" w:rsidR="007E1F8A" w:rsidRPr="00FB292D" w:rsidRDefault="007E1F8A" w:rsidP="00FB292D">
            <w:pPr>
              <w:ind w:left="0" w:firstLine="0"/>
              <w:rPr>
                <w:rFonts w:ascii="Verdana" w:eastAsia="Calibri" w:hAnsi="Verdana"/>
                <w:sz w:val="18"/>
                <w:szCs w:val="18"/>
              </w:rPr>
            </w:pPr>
          </w:p>
        </w:tc>
      </w:tr>
      <w:tr w:rsidR="007E1F8A" w:rsidRPr="009E3570" w14:paraId="23B70111" w14:textId="77777777" w:rsidTr="00FB292D">
        <w:trPr>
          <w:trHeight w:val="20"/>
        </w:trPr>
        <w:tc>
          <w:tcPr>
            <w:tcW w:w="1439" w:type="pct"/>
            <w:vMerge w:val="restart"/>
            <w:vAlign w:val="center"/>
          </w:tcPr>
          <w:p w14:paraId="2086322A"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Age</w:t>
            </w:r>
          </w:p>
        </w:tc>
        <w:tc>
          <w:tcPr>
            <w:tcW w:w="1140" w:type="pct"/>
            <w:vAlign w:val="center"/>
          </w:tcPr>
          <w:p w14:paraId="573F4967"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Less than 30</w:t>
            </w:r>
          </w:p>
        </w:tc>
        <w:tc>
          <w:tcPr>
            <w:tcW w:w="865" w:type="pct"/>
            <w:vAlign w:val="center"/>
          </w:tcPr>
          <w:p w14:paraId="31EFCD95"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115</w:t>
            </w:r>
          </w:p>
        </w:tc>
        <w:tc>
          <w:tcPr>
            <w:tcW w:w="692" w:type="pct"/>
            <w:vAlign w:val="center"/>
          </w:tcPr>
          <w:p w14:paraId="57AEACD0"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40.5</w:t>
            </w:r>
          </w:p>
        </w:tc>
        <w:tc>
          <w:tcPr>
            <w:tcW w:w="864" w:type="pct"/>
            <w:vAlign w:val="center"/>
          </w:tcPr>
          <w:p w14:paraId="63287FAD"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40.5</w:t>
            </w:r>
          </w:p>
        </w:tc>
      </w:tr>
      <w:tr w:rsidR="007E1F8A" w:rsidRPr="009E3570" w14:paraId="70490AA0" w14:textId="77777777" w:rsidTr="00FB292D">
        <w:trPr>
          <w:trHeight w:val="20"/>
        </w:trPr>
        <w:tc>
          <w:tcPr>
            <w:tcW w:w="1439" w:type="pct"/>
            <w:vMerge/>
            <w:vAlign w:val="center"/>
          </w:tcPr>
          <w:p w14:paraId="3EB0AE43"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1B1A05F3"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31-45</w:t>
            </w:r>
          </w:p>
        </w:tc>
        <w:tc>
          <w:tcPr>
            <w:tcW w:w="865" w:type="pct"/>
            <w:vAlign w:val="center"/>
          </w:tcPr>
          <w:p w14:paraId="50630B4D"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102</w:t>
            </w:r>
          </w:p>
        </w:tc>
        <w:tc>
          <w:tcPr>
            <w:tcW w:w="692" w:type="pct"/>
            <w:vAlign w:val="center"/>
          </w:tcPr>
          <w:p w14:paraId="02B56284"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35.9</w:t>
            </w:r>
          </w:p>
        </w:tc>
        <w:tc>
          <w:tcPr>
            <w:tcW w:w="864" w:type="pct"/>
            <w:vAlign w:val="center"/>
          </w:tcPr>
          <w:p w14:paraId="039117C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76.4</w:t>
            </w:r>
          </w:p>
        </w:tc>
      </w:tr>
      <w:tr w:rsidR="007E1F8A" w:rsidRPr="009E3570" w14:paraId="40A0A059" w14:textId="77777777" w:rsidTr="00FB292D">
        <w:trPr>
          <w:trHeight w:val="20"/>
        </w:trPr>
        <w:tc>
          <w:tcPr>
            <w:tcW w:w="1439" w:type="pct"/>
            <w:vMerge/>
            <w:vAlign w:val="center"/>
          </w:tcPr>
          <w:p w14:paraId="3D297FD8"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7C1A6964"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46-60</w:t>
            </w:r>
          </w:p>
        </w:tc>
        <w:tc>
          <w:tcPr>
            <w:tcW w:w="865" w:type="pct"/>
            <w:vAlign w:val="center"/>
          </w:tcPr>
          <w:p w14:paraId="1C4A1F0F"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51</w:t>
            </w:r>
          </w:p>
        </w:tc>
        <w:tc>
          <w:tcPr>
            <w:tcW w:w="692" w:type="pct"/>
            <w:vAlign w:val="center"/>
          </w:tcPr>
          <w:p w14:paraId="6296547E"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18</w:t>
            </w:r>
          </w:p>
        </w:tc>
        <w:tc>
          <w:tcPr>
            <w:tcW w:w="864" w:type="pct"/>
            <w:vAlign w:val="center"/>
          </w:tcPr>
          <w:p w14:paraId="3C34620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94.4</w:t>
            </w:r>
          </w:p>
        </w:tc>
      </w:tr>
      <w:tr w:rsidR="007E1F8A" w:rsidRPr="009E3570" w14:paraId="75C23430" w14:textId="77777777" w:rsidTr="00FB292D">
        <w:trPr>
          <w:trHeight w:val="20"/>
        </w:trPr>
        <w:tc>
          <w:tcPr>
            <w:tcW w:w="1439" w:type="pct"/>
            <w:vMerge/>
            <w:vAlign w:val="center"/>
          </w:tcPr>
          <w:p w14:paraId="6D3443F5"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091FEEBD"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60 and above</w:t>
            </w:r>
          </w:p>
        </w:tc>
        <w:tc>
          <w:tcPr>
            <w:tcW w:w="865" w:type="pct"/>
            <w:vAlign w:val="center"/>
          </w:tcPr>
          <w:p w14:paraId="29168F52"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16</w:t>
            </w:r>
          </w:p>
        </w:tc>
        <w:tc>
          <w:tcPr>
            <w:tcW w:w="692" w:type="pct"/>
            <w:vAlign w:val="center"/>
          </w:tcPr>
          <w:p w14:paraId="6184FB47"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5.6</w:t>
            </w:r>
          </w:p>
        </w:tc>
        <w:tc>
          <w:tcPr>
            <w:tcW w:w="864" w:type="pct"/>
            <w:vAlign w:val="center"/>
          </w:tcPr>
          <w:p w14:paraId="45A8BF5D"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100.0</w:t>
            </w:r>
          </w:p>
        </w:tc>
      </w:tr>
      <w:tr w:rsidR="007E1F8A" w:rsidRPr="009E3570" w14:paraId="34FEEAB6" w14:textId="77777777" w:rsidTr="00FB292D">
        <w:trPr>
          <w:trHeight w:val="20"/>
        </w:trPr>
        <w:tc>
          <w:tcPr>
            <w:tcW w:w="1439" w:type="pct"/>
            <w:vMerge/>
            <w:vAlign w:val="center"/>
          </w:tcPr>
          <w:p w14:paraId="36591ABC"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13637D89"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Total</w:t>
            </w:r>
          </w:p>
        </w:tc>
        <w:tc>
          <w:tcPr>
            <w:tcW w:w="865" w:type="pct"/>
            <w:vAlign w:val="center"/>
          </w:tcPr>
          <w:p w14:paraId="6AD39F13"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284</w:t>
            </w:r>
          </w:p>
        </w:tc>
        <w:tc>
          <w:tcPr>
            <w:tcW w:w="692" w:type="pct"/>
            <w:vAlign w:val="center"/>
          </w:tcPr>
          <w:p w14:paraId="538A7F7B"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100.0</w:t>
            </w:r>
          </w:p>
        </w:tc>
        <w:tc>
          <w:tcPr>
            <w:tcW w:w="864" w:type="pct"/>
            <w:vAlign w:val="center"/>
          </w:tcPr>
          <w:p w14:paraId="03497AF6" w14:textId="77777777" w:rsidR="007E1F8A" w:rsidRPr="00FB292D" w:rsidRDefault="007E1F8A" w:rsidP="00FB292D">
            <w:pPr>
              <w:ind w:left="0" w:firstLine="0"/>
              <w:rPr>
                <w:rFonts w:ascii="Verdana" w:eastAsia="Calibri" w:hAnsi="Verdana"/>
                <w:sz w:val="18"/>
                <w:szCs w:val="18"/>
              </w:rPr>
            </w:pPr>
          </w:p>
        </w:tc>
      </w:tr>
      <w:tr w:rsidR="007E1F8A" w:rsidRPr="009E3570" w14:paraId="59A6A5C9" w14:textId="77777777" w:rsidTr="00FB292D">
        <w:trPr>
          <w:trHeight w:val="20"/>
        </w:trPr>
        <w:tc>
          <w:tcPr>
            <w:tcW w:w="1439" w:type="pct"/>
            <w:vMerge w:val="restart"/>
            <w:vAlign w:val="center"/>
          </w:tcPr>
          <w:p w14:paraId="327F1C9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Marital status</w:t>
            </w:r>
          </w:p>
        </w:tc>
        <w:tc>
          <w:tcPr>
            <w:tcW w:w="1140" w:type="pct"/>
            <w:vAlign w:val="center"/>
          </w:tcPr>
          <w:p w14:paraId="5177A5FD"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Single</w:t>
            </w:r>
          </w:p>
        </w:tc>
        <w:tc>
          <w:tcPr>
            <w:tcW w:w="865" w:type="pct"/>
            <w:vAlign w:val="center"/>
          </w:tcPr>
          <w:p w14:paraId="7627C767"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114</w:t>
            </w:r>
          </w:p>
        </w:tc>
        <w:tc>
          <w:tcPr>
            <w:tcW w:w="692" w:type="pct"/>
            <w:vAlign w:val="center"/>
          </w:tcPr>
          <w:p w14:paraId="6F19BB38"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40.1</w:t>
            </w:r>
          </w:p>
        </w:tc>
        <w:tc>
          <w:tcPr>
            <w:tcW w:w="864" w:type="pct"/>
            <w:vAlign w:val="center"/>
          </w:tcPr>
          <w:p w14:paraId="49303679"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40.1</w:t>
            </w:r>
          </w:p>
        </w:tc>
      </w:tr>
      <w:tr w:rsidR="007E1F8A" w:rsidRPr="009E3570" w14:paraId="2E01E5E2" w14:textId="77777777" w:rsidTr="00FB292D">
        <w:trPr>
          <w:trHeight w:val="20"/>
        </w:trPr>
        <w:tc>
          <w:tcPr>
            <w:tcW w:w="1439" w:type="pct"/>
            <w:vMerge/>
            <w:vAlign w:val="center"/>
          </w:tcPr>
          <w:p w14:paraId="6932E416"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6065188D"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Married</w:t>
            </w:r>
          </w:p>
        </w:tc>
        <w:tc>
          <w:tcPr>
            <w:tcW w:w="865" w:type="pct"/>
            <w:vAlign w:val="center"/>
          </w:tcPr>
          <w:p w14:paraId="216BBD08"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159</w:t>
            </w:r>
          </w:p>
        </w:tc>
        <w:tc>
          <w:tcPr>
            <w:tcW w:w="692" w:type="pct"/>
            <w:vAlign w:val="center"/>
          </w:tcPr>
          <w:p w14:paraId="3D3F8D49"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56</w:t>
            </w:r>
          </w:p>
        </w:tc>
        <w:tc>
          <w:tcPr>
            <w:tcW w:w="864" w:type="pct"/>
            <w:vAlign w:val="center"/>
          </w:tcPr>
          <w:p w14:paraId="4A1BF7E5"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96.1</w:t>
            </w:r>
          </w:p>
        </w:tc>
      </w:tr>
      <w:tr w:rsidR="007E1F8A" w:rsidRPr="009E3570" w14:paraId="20E77EB8" w14:textId="77777777" w:rsidTr="00FB292D">
        <w:trPr>
          <w:trHeight w:val="20"/>
        </w:trPr>
        <w:tc>
          <w:tcPr>
            <w:tcW w:w="1439" w:type="pct"/>
            <w:vMerge/>
            <w:vAlign w:val="center"/>
          </w:tcPr>
          <w:p w14:paraId="19DCD2D7"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47913D60"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Divorced</w:t>
            </w:r>
          </w:p>
        </w:tc>
        <w:tc>
          <w:tcPr>
            <w:tcW w:w="865" w:type="pct"/>
            <w:vAlign w:val="center"/>
          </w:tcPr>
          <w:p w14:paraId="29EC595A"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11</w:t>
            </w:r>
          </w:p>
        </w:tc>
        <w:tc>
          <w:tcPr>
            <w:tcW w:w="692" w:type="pct"/>
            <w:vAlign w:val="center"/>
          </w:tcPr>
          <w:p w14:paraId="6B2CA47D"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3.9</w:t>
            </w:r>
          </w:p>
        </w:tc>
        <w:tc>
          <w:tcPr>
            <w:tcW w:w="864" w:type="pct"/>
            <w:vAlign w:val="center"/>
          </w:tcPr>
          <w:p w14:paraId="2AAF449A"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100.0</w:t>
            </w:r>
          </w:p>
        </w:tc>
      </w:tr>
      <w:tr w:rsidR="007E1F8A" w:rsidRPr="009E3570" w14:paraId="50AF2CCA" w14:textId="77777777" w:rsidTr="00FB292D">
        <w:trPr>
          <w:trHeight w:val="20"/>
        </w:trPr>
        <w:tc>
          <w:tcPr>
            <w:tcW w:w="1439" w:type="pct"/>
            <w:vMerge/>
            <w:vAlign w:val="center"/>
          </w:tcPr>
          <w:p w14:paraId="6BF52A37"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376163DC"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Total</w:t>
            </w:r>
          </w:p>
        </w:tc>
        <w:tc>
          <w:tcPr>
            <w:tcW w:w="865" w:type="pct"/>
            <w:vAlign w:val="center"/>
          </w:tcPr>
          <w:p w14:paraId="2E40CDB5"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284</w:t>
            </w:r>
          </w:p>
        </w:tc>
        <w:tc>
          <w:tcPr>
            <w:tcW w:w="692" w:type="pct"/>
            <w:vAlign w:val="center"/>
          </w:tcPr>
          <w:p w14:paraId="072069FB"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100.0</w:t>
            </w:r>
          </w:p>
        </w:tc>
        <w:tc>
          <w:tcPr>
            <w:tcW w:w="864" w:type="pct"/>
            <w:vAlign w:val="center"/>
          </w:tcPr>
          <w:p w14:paraId="018E71C4" w14:textId="77777777" w:rsidR="007E1F8A" w:rsidRPr="00FB292D" w:rsidRDefault="007E1F8A" w:rsidP="00FB292D">
            <w:pPr>
              <w:ind w:left="0" w:firstLine="0"/>
              <w:rPr>
                <w:rFonts w:ascii="Verdana" w:eastAsia="Calibri" w:hAnsi="Verdana"/>
                <w:sz w:val="18"/>
                <w:szCs w:val="18"/>
              </w:rPr>
            </w:pPr>
          </w:p>
        </w:tc>
      </w:tr>
      <w:tr w:rsidR="007E1F8A" w:rsidRPr="009E3570" w14:paraId="10ACE2EF" w14:textId="77777777" w:rsidTr="00FB292D">
        <w:trPr>
          <w:trHeight w:val="20"/>
        </w:trPr>
        <w:tc>
          <w:tcPr>
            <w:tcW w:w="1439" w:type="pct"/>
            <w:vMerge w:val="restart"/>
            <w:vAlign w:val="center"/>
          </w:tcPr>
          <w:p w14:paraId="6B563140"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Education level</w:t>
            </w:r>
          </w:p>
        </w:tc>
        <w:tc>
          <w:tcPr>
            <w:tcW w:w="1140" w:type="pct"/>
            <w:vAlign w:val="center"/>
          </w:tcPr>
          <w:p w14:paraId="64AC50D2"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Master and above</w:t>
            </w:r>
          </w:p>
        </w:tc>
        <w:tc>
          <w:tcPr>
            <w:tcW w:w="865" w:type="pct"/>
            <w:vAlign w:val="center"/>
          </w:tcPr>
          <w:p w14:paraId="41A569C5"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112</w:t>
            </w:r>
          </w:p>
        </w:tc>
        <w:tc>
          <w:tcPr>
            <w:tcW w:w="692" w:type="pct"/>
            <w:vAlign w:val="center"/>
          </w:tcPr>
          <w:p w14:paraId="01D79079"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39.4</w:t>
            </w:r>
          </w:p>
        </w:tc>
        <w:tc>
          <w:tcPr>
            <w:tcW w:w="864" w:type="pct"/>
            <w:vAlign w:val="center"/>
          </w:tcPr>
          <w:p w14:paraId="45CE26A2"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39.4</w:t>
            </w:r>
          </w:p>
        </w:tc>
      </w:tr>
      <w:tr w:rsidR="007E1F8A" w:rsidRPr="009E3570" w14:paraId="33838B8F" w14:textId="77777777" w:rsidTr="00FB292D">
        <w:trPr>
          <w:trHeight w:val="20"/>
        </w:trPr>
        <w:tc>
          <w:tcPr>
            <w:tcW w:w="1439" w:type="pct"/>
            <w:vMerge/>
            <w:vAlign w:val="center"/>
          </w:tcPr>
          <w:p w14:paraId="538A9947"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07272A50"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Bachelor</w:t>
            </w:r>
          </w:p>
        </w:tc>
        <w:tc>
          <w:tcPr>
            <w:tcW w:w="865" w:type="pct"/>
            <w:vAlign w:val="center"/>
          </w:tcPr>
          <w:p w14:paraId="048EF9A9"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114</w:t>
            </w:r>
          </w:p>
        </w:tc>
        <w:tc>
          <w:tcPr>
            <w:tcW w:w="692" w:type="pct"/>
            <w:vAlign w:val="center"/>
          </w:tcPr>
          <w:p w14:paraId="7C0C7D84"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40.1</w:t>
            </w:r>
          </w:p>
        </w:tc>
        <w:tc>
          <w:tcPr>
            <w:tcW w:w="864" w:type="pct"/>
            <w:vAlign w:val="center"/>
          </w:tcPr>
          <w:p w14:paraId="063828D8"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79.6</w:t>
            </w:r>
          </w:p>
        </w:tc>
      </w:tr>
      <w:tr w:rsidR="007E1F8A" w:rsidRPr="009E3570" w14:paraId="23EB933A" w14:textId="77777777" w:rsidTr="00FB292D">
        <w:trPr>
          <w:trHeight w:val="20"/>
        </w:trPr>
        <w:tc>
          <w:tcPr>
            <w:tcW w:w="1439" w:type="pct"/>
            <w:vMerge/>
            <w:vAlign w:val="center"/>
          </w:tcPr>
          <w:p w14:paraId="588DC36A"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518EAAE0"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Intermediate</w:t>
            </w:r>
          </w:p>
        </w:tc>
        <w:tc>
          <w:tcPr>
            <w:tcW w:w="865" w:type="pct"/>
            <w:vAlign w:val="center"/>
          </w:tcPr>
          <w:p w14:paraId="693E2665"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37</w:t>
            </w:r>
          </w:p>
        </w:tc>
        <w:tc>
          <w:tcPr>
            <w:tcW w:w="692" w:type="pct"/>
            <w:vAlign w:val="center"/>
          </w:tcPr>
          <w:p w14:paraId="1053D46D"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13</w:t>
            </w:r>
          </w:p>
        </w:tc>
        <w:tc>
          <w:tcPr>
            <w:tcW w:w="864" w:type="pct"/>
            <w:vAlign w:val="center"/>
          </w:tcPr>
          <w:p w14:paraId="7B09040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92.6</w:t>
            </w:r>
          </w:p>
        </w:tc>
      </w:tr>
      <w:tr w:rsidR="007E1F8A" w:rsidRPr="009E3570" w14:paraId="0D7DEE04" w14:textId="77777777" w:rsidTr="00FB292D">
        <w:trPr>
          <w:trHeight w:val="20"/>
        </w:trPr>
        <w:tc>
          <w:tcPr>
            <w:tcW w:w="1439" w:type="pct"/>
            <w:vMerge/>
            <w:vAlign w:val="center"/>
          </w:tcPr>
          <w:p w14:paraId="1F7BCB19"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6B2B4C4E"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Matriculate</w:t>
            </w:r>
          </w:p>
        </w:tc>
        <w:tc>
          <w:tcPr>
            <w:tcW w:w="865" w:type="pct"/>
            <w:vAlign w:val="center"/>
          </w:tcPr>
          <w:p w14:paraId="771B3E73"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21</w:t>
            </w:r>
          </w:p>
        </w:tc>
        <w:tc>
          <w:tcPr>
            <w:tcW w:w="692" w:type="pct"/>
            <w:vAlign w:val="center"/>
          </w:tcPr>
          <w:p w14:paraId="6B37B43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7.4</w:t>
            </w:r>
          </w:p>
        </w:tc>
        <w:tc>
          <w:tcPr>
            <w:tcW w:w="864" w:type="pct"/>
            <w:vAlign w:val="center"/>
          </w:tcPr>
          <w:p w14:paraId="5308A3BA"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100</w:t>
            </w:r>
          </w:p>
        </w:tc>
      </w:tr>
      <w:tr w:rsidR="007E1F8A" w:rsidRPr="009E3570" w14:paraId="0069CD90" w14:textId="77777777" w:rsidTr="00FB292D">
        <w:trPr>
          <w:trHeight w:val="20"/>
        </w:trPr>
        <w:tc>
          <w:tcPr>
            <w:tcW w:w="1439" w:type="pct"/>
            <w:vMerge/>
            <w:vAlign w:val="center"/>
          </w:tcPr>
          <w:p w14:paraId="3320C1F5"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0ABD97D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Total</w:t>
            </w:r>
          </w:p>
        </w:tc>
        <w:tc>
          <w:tcPr>
            <w:tcW w:w="865" w:type="pct"/>
            <w:vAlign w:val="center"/>
          </w:tcPr>
          <w:p w14:paraId="2675EF2A"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284</w:t>
            </w:r>
          </w:p>
        </w:tc>
        <w:tc>
          <w:tcPr>
            <w:tcW w:w="692" w:type="pct"/>
            <w:vAlign w:val="center"/>
          </w:tcPr>
          <w:p w14:paraId="1564E79E"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100.0</w:t>
            </w:r>
          </w:p>
        </w:tc>
        <w:tc>
          <w:tcPr>
            <w:tcW w:w="864" w:type="pct"/>
            <w:vAlign w:val="center"/>
          </w:tcPr>
          <w:p w14:paraId="5B164534" w14:textId="77777777" w:rsidR="007E1F8A" w:rsidRPr="00FB292D" w:rsidRDefault="007E1F8A" w:rsidP="00FB292D">
            <w:pPr>
              <w:ind w:left="0" w:firstLine="0"/>
              <w:rPr>
                <w:rFonts w:ascii="Verdana" w:eastAsia="Calibri" w:hAnsi="Verdana"/>
                <w:sz w:val="18"/>
                <w:szCs w:val="18"/>
              </w:rPr>
            </w:pPr>
          </w:p>
        </w:tc>
      </w:tr>
      <w:tr w:rsidR="007E1F8A" w:rsidRPr="009E3570" w14:paraId="568A49A6" w14:textId="77777777" w:rsidTr="00FB292D">
        <w:trPr>
          <w:trHeight w:val="20"/>
        </w:trPr>
        <w:tc>
          <w:tcPr>
            <w:tcW w:w="1439" w:type="pct"/>
            <w:vMerge w:val="restart"/>
            <w:vAlign w:val="center"/>
          </w:tcPr>
          <w:p w14:paraId="75FFAF7A"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Monthly Income</w:t>
            </w:r>
          </w:p>
        </w:tc>
        <w:tc>
          <w:tcPr>
            <w:tcW w:w="1140" w:type="pct"/>
            <w:vAlign w:val="center"/>
          </w:tcPr>
          <w:p w14:paraId="6CFBD4EE"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50000 and less</w:t>
            </w:r>
          </w:p>
        </w:tc>
        <w:tc>
          <w:tcPr>
            <w:tcW w:w="865" w:type="pct"/>
            <w:vAlign w:val="center"/>
          </w:tcPr>
          <w:p w14:paraId="14248F32"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127</w:t>
            </w:r>
          </w:p>
        </w:tc>
        <w:tc>
          <w:tcPr>
            <w:tcW w:w="692" w:type="pct"/>
            <w:vAlign w:val="center"/>
          </w:tcPr>
          <w:p w14:paraId="599637D2"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44.7</w:t>
            </w:r>
          </w:p>
        </w:tc>
        <w:tc>
          <w:tcPr>
            <w:tcW w:w="864" w:type="pct"/>
            <w:vAlign w:val="center"/>
          </w:tcPr>
          <w:p w14:paraId="72E85824"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44.7</w:t>
            </w:r>
          </w:p>
        </w:tc>
      </w:tr>
      <w:tr w:rsidR="007E1F8A" w:rsidRPr="009E3570" w14:paraId="32B7FE75" w14:textId="77777777" w:rsidTr="00FB292D">
        <w:trPr>
          <w:trHeight w:val="20"/>
        </w:trPr>
        <w:tc>
          <w:tcPr>
            <w:tcW w:w="1439" w:type="pct"/>
            <w:vMerge/>
            <w:vAlign w:val="center"/>
          </w:tcPr>
          <w:p w14:paraId="123846CA"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140072ED"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51000-100000</w:t>
            </w:r>
          </w:p>
        </w:tc>
        <w:tc>
          <w:tcPr>
            <w:tcW w:w="865" w:type="pct"/>
            <w:vAlign w:val="center"/>
          </w:tcPr>
          <w:p w14:paraId="7045A2C5"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83</w:t>
            </w:r>
          </w:p>
        </w:tc>
        <w:tc>
          <w:tcPr>
            <w:tcW w:w="692" w:type="pct"/>
            <w:vAlign w:val="center"/>
          </w:tcPr>
          <w:p w14:paraId="3A82540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29.2</w:t>
            </w:r>
          </w:p>
        </w:tc>
        <w:tc>
          <w:tcPr>
            <w:tcW w:w="864" w:type="pct"/>
            <w:vAlign w:val="center"/>
          </w:tcPr>
          <w:p w14:paraId="34DD8EB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73.9</w:t>
            </w:r>
          </w:p>
        </w:tc>
      </w:tr>
      <w:tr w:rsidR="007E1F8A" w:rsidRPr="009E3570" w14:paraId="067AA2E9" w14:textId="77777777" w:rsidTr="00FB292D">
        <w:trPr>
          <w:trHeight w:val="20"/>
        </w:trPr>
        <w:tc>
          <w:tcPr>
            <w:tcW w:w="1439" w:type="pct"/>
            <w:vMerge/>
            <w:vAlign w:val="center"/>
          </w:tcPr>
          <w:p w14:paraId="57A9A665"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22614D0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101000- 150000</w:t>
            </w:r>
          </w:p>
        </w:tc>
        <w:tc>
          <w:tcPr>
            <w:tcW w:w="865" w:type="pct"/>
            <w:vAlign w:val="center"/>
          </w:tcPr>
          <w:p w14:paraId="09D3F0D0"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46</w:t>
            </w:r>
          </w:p>
        </w:tc>
        <w:tc>
          <w:tcPr>
            <w:tcW w:w="692" w:type="pct"/>
            <w:vAlign w:val="center"/>
          </w:tcPr>
          <w:p w14:paraId="22CA200D"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16.2</w:t>
            </w:r>
          </w:p>
        </w:tc>
        <w:tc>
          <w:tcPr>
            <w:tcW w:w="864" w:type="pct"/>
            <w:vAlign w:val="center"/>
          </w:tcPr>
          <w:p w14:paraId="3F3C46F3"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90.1</w:t>
            </w:r>
          </w:p>
        </w:tc>
      </w:tr>
      <w:tr w:rsidR="007E1F8A" w:rsidRPr="009E3570" w14:paraId="56A86DD2" w14:textId="77777777" w:rsidTr="00FB292D">
        <w:trPr>
          <w:trHeight w:val="20"/>
        </w:trPr>
        <w:tc>
          <w:tcPr>
            <w:tcW w:w="1439" w:type="pct"/>
            <w:vMerge/>
            <w:vAlign w:val="center"/>
          </w:tcPr>
          <w:p w14:paraId="29C874D3"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0A3694A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151000-200000</w:t>
            </w:r>
          </w:p>
        </w:tc>
        <w:tc>
          <w:tcPr>
            <w:tcW w:w="865" w:type="pct"/>
            <w:vAlign w:val="center"/>
          </w:tcPr>
          <w:p w14:paraId="6AF08D06"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28</w:t>
            </w:r>
          </w:p>
        </w:tc>
        <w:tc>
          <w:tcPr>
            <w:tcW w:w="692" w:type="pct"/>
            <w:vAlign w:val="center"/>
          </w:tcPr>
          <w:p w14:paraId="295F0349"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9.9</w:t>
            </w:r>
          </w:p>
        </w:tc>
        <w:tc>
          <w:tcPr>
            <w:tcW w:w="864" w:type="pct"/>
            <w:vAlign w:val="center"/>
          </w:tcPr>
          <w:p w14:paraId="3D0DD4C5"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100</w:t>
            </w:r>
          </w:p>
        </w:tc>
      </w:tr>
      <w:tr w:rsidR="007E1F8A" w:rsidRPr="009E3570" w14:paraId="4C5592DF" w14:textId="77777777" w:rsidTr="00FB292D">
        <w:trPr>
          <w:trHeight w:val="20"/>
        </w:trPr>
        <w:tc>
          <w:tcPr>
            <w:tcW w:w="1439" w:type="pct"/>
            <w:vMerge/>
            <w:vAlign w:val="center"/>
          </w:tcPr>
          <w:p w14:paraId="1689EC7B" w14:textId="77777777" w:rsidR="007E1F8A" w:rsidRPr="00FB292D" w:rsidRDefault="007E1F8A" w:rsidP="00FB292D">
            <w:pPr>
              <w:ind w:left="0" w:firstLine="0"/>
              <w:rPr>
                <w:rFonts w:ascii="Verdana" w:eastAsia="Calibri" w:hAnsi="Verdana"/>
                <w:sz w:val="18"/>
                <w:szCs w:val="18"/>
              </w:rPr>
            </w:pPr>
          </w:p>
        </w:tc>
        <w:tc>
          <w:tcPr>
            <w:tcW w:w="1140" w:type="pct"/>
            <w:vAlign w:val="center"/>
          </w:tcPr>
          <w:p w14:paraId="4441E055"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Total</w:t>
            </w:r>
          </w:p>
        </w:tc>
        <w:tc>
          <w:tcPr>
            <w:tcW w:w="865" w:type="pct"/>
            <w:vAlign w:val="center"/>
          </w:tcPr>
          <w:p w14:paraId="2E47F8D1"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200</w:t>
            </w:r>
          </w:p>
        </w:tc>
        <w:tc>
          <w:tcPr>
            <w:tcW w:w="692" w:type="pct"/>
            <w:vAlign w:val="center"/>
          </w:tcPr>
          <w:p w14:paraId="1A213EE6" w14:textId="77777777" w:rsidR="007E1F8A" w:rsidRPr="00FB292D" w:rsidRDefault="007E1F8A" w:rsidP="00FB292D">
            <w:pPr>
              <w:ind w:left="0" w:firstLine="0"/>
              <w:rPr>
                <w:rFonts w:ascii="Verdana" w:eastAsia="Calibri" w:hAnsi="Verdana"/>
                <w:sz w:val="18"/>
                <w:szCs w:val="18"/>
              </w:rPr>
            </w:pPr>
            <w:r w:rsidRPr="00FB292D">
              <w:rPr>
                <w:rFonts w:ascii="Verdana" w:eastAsia="Calibri" w:hAnsi="Verdana"/>
                <w:sz w:val="18"/>
                <w:szCs w:val="18"/>
              </w:rPr>
              <w:t>100.0</w:t>
            </w:r>
          </w:p>
        </w:tc>
        <w:tc>
          <w:tcPr>
            <w:tcW w:w="864" w:type="pct"/>
            <w:vAlign w:val="center"/>
          </w:tcPr>
          <w:p w14:paraId="0876B049" w14:textId="77777777" w:rsidR="007E1F8A" w:rsidRPr="00FB292D" w:rsidRDefault="007E1F8A" w:rsidP="00FB292D">
            <w:pPr>
              <w:ind w:left="0" w:firstLine="0"/>
              <w:rPr>
                <w:rFonts w:ascii="Verdana" w:eastAsia="Calibri" w:hAnsi="Verdana"/>
                <w:sz w:val="18"/>
                <w:szCs w:val="18"/>
              </w:rPr>
            </w:pPr>
          </w:p>
        </w:tc>
      </w:tr>
    </w:tbl>
    <w:p w14:paraId="09F05141" w14:textId="77777777" w:rsidR="007E1F8A" w:rsidRPr="00195E39" w:rsidRDefault="007E1F8A" w:rsidP="007E1F8A">
      <w:pPr>
        <w:rPr>
          <w:rFonts w:ascii="Verdana" w:hAnsi="Verdana"/>
          <w:b/>
          <w:sz w:val="20"/>
          <w:szCs w:val="20"/>
        </w:rPr>
      </w:pPr>
    </w:p>
    <w:p w14:paraId="6D2CA489" w14:textId="3CF47769" w:rsidR="007E1F8A" w:rsidRPr="009E3570" w:rsidRDefault="007E1F8A" w:rsidP="009E3570">
      <w:pPr>
        <w:pStyle w:val="ListParagraph"/>
        <w:numPr>
          <w:ilvl w:val="1"/>
          <w:numId w:val="39"/>
        </w:numPr>
        <w:ind w:hanging="720"/>
        <w:rPr>
          <w:rFonts w:ascii="Verdana" w:hAnsi="Verdana"/>
          <w:b/>
          <w:sz w:val="22"/>
          <w:szCs w:val="22"/>
        </w:rPr>
      </w:pPr>
      <w:r w:rsidRPr="009E3570">
        <w:rPr>
          <w:rFonts w:ascii="Verdana" w:hAnsi="Verdana"/>
          <w:b/>
          <w:sz w:val="22"/>
          <w:szCs w:val="22"/>
        </w:rPr>
        <w:t>Descriptive Statistics About Personality Traits</w:t>
      </w:r>
    </w:p>
    <w:p w14:paraId="529C0F6F" w14:textId="77777777" w:rsidR="009E3570" w:rsidRDefault="009E3570" w:rsidP="009E3570">
      <w:pPr>
        <w:ind w:left="0" w:firstLine="720"/>
        <w:rPr>
          <w:rFonts w:ascii="Verdana" w:hAnsi="Verdana"/>
          <w:sz w:val="20"/>
          <w:szCs w:val="20"/>
        </w:rPr>
      </w:pPr>
    </w:p>
    <w:p w14:paraId="64B11C58" w14:textId="0995CB11" w:rsidR="007E1F8A" w:rsidRPr="00195E39" w:rsidRDefault="007E1F8A" w:rsidP="009E3570">
      <w:pPr>
        <w:ind w:left="0" w:firstLine="720"/>
        <w:rPr>
          <w:rFonts w:ascii="Verdana" w:hAnsi="Verdana"/>
          <w:sz w:val="20"/>
          <w:szCs w:val="20"/>
        </w:rPr>
      </w:pPr>
      <w:r w:rsidRPr="00195E39">
        <w:rPr>
          <w:rFonts w:ascii="Verdana" w:hAnsi="Verdana"/>
          <w:sz w:val="20"/>
          <w:szCs w:val="20"/>
        </w:rPr>
        <w:t>This section includes descriptive statistics of personality dimensions. The responses of the participants to each personality dimension’s question have been tabulated below. The normality assumption was violated hence we computed the Median from all the questions about each personality dimension.</w:t>
      </w:r>
    </w:p>
    <w:p w14:paraId="1C867082" w14:textId="77777777" w:rsidR="009E3570" w:rsidRDefault="009E3570" w:rsidP="007E1F8A">
      <w:pPr>
        <w:rPr>
          <w:rFonts w:ascii="Verdana" w:hAnsi="Verdana"/>
          <w:b/>
          <w:sz w:val="20"/>
          <w:szCs w:val="20"/>
        </w:rPr>
      </w:pPr>
    </w:p>
    <w:p w14:paraId="7999507B" w14:textId="72D232A4" w:rsidR="007E1F8A" w:rsidRPr="009E3570" w:rsidRDefault="007E1F8A" w:rsidP="009E3570">
      <w:pPr>
        <w:pStyle w:val="ListParagraph"/>
        <w:numPr>
          <w:ilvl w:val="2"/>
          <w:numId w:val="39"/>
        </w:numPr>
        <w:ind w:left="709"/>
        <w:rPr>
          <w:rFonts w:ascii="Verdana" w:hAnsi="Verdana"/>
          <w:b/>
          <w:sz w:val="22"/>
          <w:szCs w:val="22"/>
        </w:rPr>
      </w:pPr>
      <w:r w:rsidRPr="009E3570">
        <w:rPr>
          <w:rFonts w:ascii="Verdana" w:hAnsi="Verdana"/>
          <w:b/>
          <w:sz w:val="22"/>
          <w:szCs w:val="22"/>
        </w:rPr>
        <w:t>Descriptive Statistics of Extroversion</w:t>
      </w:r>
    </w:p>
    <w:p w14:paraId="2017419B" w14:textId="77777777" w:rsidR="009E3570" w:rsidRDefault="009E3570" w:rsidP="009E3570">
      <w:pPr>
        <w:ind w:left="0" w:firstLine="709"/>
        <w:rPr>
          <w:rFonts w:ascii="Verdana" w:hAnsi="Verdana"/>
          <w:sz w:val="20"/>
          <w:szCs w:val="20"/>
        </w:rPr>
      </w:pPr>
    </w:p>
    <w:p w14:paraId="09B169D6" w14:textId="55F12B4E" w:rsidR="007E1F8A" w:rsidRDefault="007E1F8A" w:rsidP="009E3570">
      <w:pPr>
        <w:ind w:left="0" w:firstLine="709"/>
        <w:rPr>
          <w:rFonts w:ascii="Verdana" w:hAnsi="Verdana"/>
          <w:sz w:val="20"/>
          <w:szCs w:val="20"/>
        </w:rPr>
      </w:pPr>
      <w:r w:rsidRPr="00195E39">
        <w:rPr>
          <w:rFonts w:ascii="Verdana" w:hAnsi="Verdana"/>
          <w:sz w:val="20"/>
          <w:szCs w:val="20"/>
        </w:rPr>
        <w:t xml:space="preserve">Table 3 presents the descriptive statistics related to the extroversion dimension of the respondents' personalities. The median approach was employed to gauge extroversion across different statements. The findings reveal that a small proportion, 7.4%, strongly disagree with extroversion, while 14.8% express disagreement. Conversely, a substantial portion, 43.3%, agrees, and an additional 16.2% strongly agree with the extroversion dimension. This suggests that investors in Lower Dir exhibit a sociable and warm attitude, emphasizing their capacity to build and maintain relationships. Notably, these individuals seem less influenced by rationality </w:t>
      </w:r>
      <w:r w:rsidRPr="00195E39">
        <w:rPr>
          <w:rFonts w:ascii="Verdana" w:hAnsi="Verdana"/>
          <w:sz w:val="20"/>
          <w:szCs w:val="20"/>
        </w:rPr>
        <w:lastRenderedPageBreak/>
        <w:t>principles, indicative of a social orientation that values connections over strict rationality. The data also indicates that these investors actively engage in expanding their social circles, finding it easy to forge and sustain relationships, thereby accumulating diverse information from a variety of sources.</w:t>
      </w:r>
    </w:p>
    <w:p w14:paraId="6F9D988E" w14:textId="77777777" w:rsidR="00AB0A13" w:rsidRPr="00195E39" w:rsidRDefault="00AB0A13" w:rsidP="009E3570">
      <w:pPr>
        <w:ind w:left="0" w:firstLine="709"/>
        <w:rPr>
          <w:rFonts w:ascii="Verdana" w:hAnsi="Verdana"/>
          <w:sz w:val="20"/>
          <w:szCs w:val="20"/>
        </w:rPr>
      </w:pPr>
    </w:p>
    <w:p w14:paraId="7635E0A0" w14:textId="373C8ADC" w:rsidR="007E1F8A" w:rsidRPr="00195E39" w:rsidRDefault="007E1F8A" w:rsidP="007E1F8A">
      <w:pPr>
        <w:rPr>
          <w:rFonts w:ascii="Verdana" w:hAnsi="Verdana"/>
          <w:sz w:val="20"/>
          <w:szCs w:val="20"/>
        </w:rPr>
      </w:pPr>
      <w:r w:rsidRPr="00195E39">
        <w:rPr>
          <w:rFonts w:ascii="Verdana" w:hAnsi="Verdana"/>
          <w:b/>
          <w:bCs/>
          <w:sz w:val="20"/>
          <w:szCs w:val="20"/>
        </w:rPr>
        <w:t>Table 3.</w:t>
      </w:r>
    </w:p>
    <w:p w14:paraId="0BF74893" w14:textId="4E115395" w:rsidR="007E1F8A" w:rsidRPr="009E3570" w:rsidRDefault="007E1F8A" w:rsidP="007E1F8A">
      <w:pPr>
        <w:rPr>
          <w:rFonts w:ascii="Verdana" w:hAnsi="Verdana"/>
          <w:b/>
          <w:bCs/>
          <w:i/>
          <w:iCs/>
          <w:sz w:val="20"/>
          <w:szCs w:val="20"/>
        </w:rPr>
      </w:pPr>
      <w:r w:rsidRPr="009E3570">
        <w:rPr>
          <w:rFonts w:ascii="Verdana" w:hAnsi="Verdana"/>
          <w:b/>
          <w:bCs/>
          <w:i/>
          <w:iCs/>
          <w:sz w:val="20"/>
          <w:szCs w:val="20"/>
        </w:rPr>
        <w:t>Descriptive Statistics of Extroversion</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244"/>
        <w:gridCol w:w="1691"/>
        <w:gridCol w:w="1801"/>
      </w:tblGrid>
      <w:tr w:rsidR="007E1F8A" w:rsidRPr="009E3570" w14:paraId="575E02AF" w14:textId="77777777" w:rsidTr="009E3570">
        <w:trPr>
          <w:cantSplit/>
          <w:trHeight w:val="20"/>
        </w:trPr>
        <w:tc>
          <w:tcPr>
            <w:tcW w:w="2096" w:type="pct"/>
            <w:tcBorders>
              <w:top w:val="single" w:sz="4" w:space="0" w:color="auto"/>
              <w:bottom w:val="single" w:sz="4" w:space="0" w:color="auto"/>
            </w:tcBorders>
            <w:vAlign w:val="center"/>
          </w:tcPr>
          <w:p w14:paraId="28A7D8FD" w14:textId="77777777" w:rsidR="007E1F8A" w:rsidRPr="009E3570" w:rsidRDefault="007E1F8A" w:rsidP="005534E0">
            <w:pPr>
              <w:ind w:left="180"/>
              <w:rPr>
                <w:rFonts w:ascii="Verdana" w:eastAsia="Calibri" w:hAnsi="Verdana"/>
                <w:b/>
                <w:bCs/>
                <w:sz w:val="18"/>
                <w:szCs w:val="18"/>
              </w:rPr>
            </w:pPr>
            <w:r w:rsidRPr="009E3570">
              <w:rPr>
                <w:rFonts w:ascii="Verdana" w:eastAsia="Calibri" w:hAnsi="Verdana"/>
                <w:b/>
                <w:bCs/>
                <w:sz w:val="18"/>
                <w:szCs w:val="18"/>
              </w:rPr>
              <w:t>Responses</w:t>
            </w:r>
          </w:p>
        </w:tc>
        <w:tc>
          <w:tcPr>
            <w:tcW w:w="1136" w:type="pct"/>
            <w:tcBorders>
              <w:top w:val="single" w:sz="4" w:space="0" w:color="auto"/>
              <w:bottom w:val="single" w:sz="4" w:space="0" w:color="auto"/>
            </w:tcBorders>
            <w:vAlign w:val="center"/>
          </w:tcPr>
          <w:p w14:paraId="4A3C347B" w14:textId="77777777" w:rsidR="007E1F8A" w:rsidRPr="009E3570" w:rsidRDefault="007E1F8A" w:rsidP="005534E0">
            <w:pPr>
              <w:jc w:val="center"/>
              <w:rPr>
                <w:rFonts w:ascii="Verdana" w:eastAsia="Calibri" w:hAnsi="Verdana"/>
                <w:b/>
                <w:bCs/>
                <w:sz w:val="18"/>
                <w:szCs w:val="18"/>
              </w:rPr>
            </w:pPr>
            <w:r w:rsidRPr="009E3570">
              <w:rPr>
                <w:rFonts w:ascii="Verdana" w:eastAsia="Calibri" w:hAnsi="Verdana"/>
                <w:b/>
                <w:bCs/>
                <w:sz w:val="18"/>
                <w:szCs w:val="18"/>
              </w:rPr>
              <w:t>Frequency</w:t>
            </w:r>
          </w:p>
        </w:tc>
        <w:tc>
          <w:tcPr>
            <w:tcW w:w="856" w:type="pct"/>
            <w:tcBorders>
              <w:top w:val="single" w:sz="4" w:space="0" w:color="auto"/>
              <w:bottom w:val="single" w:sz="4" w:space="0" w:color="auto"/>
            </w:tcBorders>
            <w:vAlign w:val="center"/>
          </w:tcPr>
          <w:p w14:paraId="02B632F8" w14:textId="77777777" w:rsidR="007E1F8A" w:rsidRPr="009E3570" w:rsidRDefault="007E1F8A" w:rsidP="005534E0">
            <w:pPr>
              <w:jc w:val="center"/>
              <w:rPr>
                <w:rFonts w:ascii="Verdana" w:eastAsia="Calibri" w:hAnsi="Verdana"/>
                <w:b/>
                <w:bCs/>
                <w:sz w:val="18"/>
                <w:szCs w:val="18"/>
              </w:rPr>
            </w:pPr>
            <w:r w:rsidRPr="009E3570">
              <w:rPr>
                <w:rFonts w:ascii="Verdana" w:eastAsia="Calibri" w:hAnsi="Verdana"/>
                <w:b/>
                <w:bCs/>
                <w:sz w:val="18"/>
                <w:szCs w:val="18"/>
              </w:rPr>
              <w:t>Percent</w:t>
            </w:r>
          </w:p>
        </w:tc>
        <w:tc>
          <w:tcPr>
            <w:tcW w:w="912" w:type="pct"/>
            <w:tcBorders>
              <w:top w:val="single" w:sz="4" w:space="0" w:color="auto"/>
              <w:bottom w:val="single" w:sz="4" w:space="0" w:color="auto"/>
            </w:tcBorders>
            <w:vAlign w:val="center"/>
          </w:tcPr>
          <w:p w14:paraId="22CE173B" w14:textId="30D9532A" w:rsidR="007E1F8A" w:rsidRPr="009E3570" w:rsidRDefault="009E3570" w:rsidP="005534E0">
            <w:pPr>
              <w:jc w:val="center"/>
              <w:rPr>
                <w:rFonts w:ascii="Verdana" w:eastAsia="Calibri" w:hAnsi="Verdana"/>
                <w:b/>
                <w:bCs/>
                <w:sz w:val="18"/>
                <w:szCs w:val="18"/>
              </w:rPr>
            </w:pPr>
            <w:r>
              <w:rPr>
                <w:rFonts w:ascii="Verdana" w:eastAsia="Calibri" w:hAnsi="Verdana"/>
                <w:b/>
                <w:bCs/>
                <w:sz w:val="18"/>
                <w:szCs w:val="18"/>
              </w:rPr>
              <w:t>C</w:t>
            </w:r>
            <w:r w:rsidR="007E1F8A" w:rsidRPr="009E3570">
              <w:rPr>
                <w:rFonts w:ascii="Verdana" w:eastAsia="Calibri" w:hAnsi="Verdana"/>
                <w:b/>
                <w:bCs/>
                <w:sz w:val="18"/>
                <w:szCs w:val="18"/>
              </w:rPr>
              <w:t>umulative</w:t>
            </w:r>
          </w:p>
        </w:tc>
      </w:tr>
      <w:tr w:rsidR="007E1F8A" w:rsidRPr="009E3570" w14:paraId="2DC58C12" w14:textId="77777777" w:rsidTr="009E3570">
        <w:trPr>
          <w:cantSplit/>
          <w:trHeight w:val="20"/>
        </w:trPr>
        <w:tc>
          <w:tcPr>
            <w:tcW w:w="2096" w:type="pct"/>
            <w:tcBorders>
              <w:top w:val="single" w:sz="4" w:space="0" w:color="auto"/>
            </w:tcBorders>
            <w:vAlign w:val="center"/>
          </w:tcPr>
          <w:p w14:paraId="4C99D2A8" w14:textId="77777777" w:rsidR="007E1F8A" w:rsidRPr="009E3570" w:rsidRDefault="007E1F8A" w:rsidP="005534E0">
            <w:pPr>
              <w:ind w:left="180"/>
              <w:rPr>
                <w:rFonts w:ascii="Verdana" w:eastAsia="Calibri" w:hAnsi="Verdana"/>
                <w:sz w:val="18"/>
                <w:szCs w:val="18"/>
              </w:rPr>
            </w:pPr>
            <w:r w:rsidRPr="009E3570">
              <w:rPr>
                <w:rFonts w:ascii="Verdana" w:eastAsia="Calibri" w:hAnsi="Verdana"/>
                <w:sz w:val="18"/>
                <w:szCs w:val="18"/>
              </w:rPr>
              <w:t>Strongly Disagree</w:t>
            </w:r>
          </w:p>
        </w:tc>
        <w:tc>
          <w:tcPr>
            <w:tcW w:w="1136" w:type="pct"/>
            <w:tcBorders>
              <w:top w:val="single" w:sz="4" w:space="0" w:color="auto"/>
            </w:tcBorders>
            <w:vAlign w:val="center"/>
          </w:tcPr>
          <w:p w14:paraId="44336420"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21</w:t>
            </w:r>
          </w:p>
        </w:tc>
        <w:tc>
          <w:tcPr>
            <w:tcW w:w="856" w:type="pct"/>
            <w:tcBorders>
              <w:top w:val="single" w:sz="4" w:space="0" w:color="auto"/>
            </w:tcBorders>
            <w:vAlign w:val="center"/>
          </w:tcPr>
          <w:p w14:paraId="02950B73"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7.4</w:t>
            </w:r>
          </w:p>
        </w:tc>
        <w:tc>
          <w:tcPr>
            <w:tcW w:w="912" w:type="pct"/>
            <w:tcBorders>
              <w:top w:val="single" w:sz="4" w:space="0" w:color="auto"/>
            </w:tcBorders>
            <w:vAlign w:val="center"/>
          </w:tcPr>
          <w:p w14:paraId="2AE4FCDE"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7.4</w:t>
            </w:r>
          </w:p>
        </w:tc>
      </w:tr>
      <w:tr w:rsidR="007E1F8A" w:rsidRPr="009E3570" w14:paraId="253BA0DE" w14:textId="77777777" w:rsidTr="009E3570">
        <w:trPr>
          <w:cantSplit/>
          <w:trHeight w:val="20"/>
        </w:trPr>
        <w:tc>
          <w:tcPr>
            <w:tcW w:w="2096" w:type="pct"/>
            <w:vAlign w:val="center"/>
          </w:tcPr>
          <w:p w14:paraId="0E9B5A98" w14:textId="77777777" w:rsidR="007E1F8A" w:rsidRPr="009E3570" w:rsidRDefault="007E1F8A" w:rsidP="005534E0">
            <w:pPr>
              <w:ind w:left="180"/>
              <w:rPr>
                <w:rFonts w:ascii="Verdana" w:eastAsia="Calibri" w:hAnsi="Verdana"/>
                <w:sz w:val="18"/>
                <w:szCs w:val="18"/>
              </w:rPr>
            </w:pPr>
            <w:r w:rsidRPr="009E3570">
              <w:rPr>
                <w:rFonts w:ascii="Verdana" w:eastAsia="Calibri" w:hAnsi="Verdana"/>
                <w:sz w:val="18"/>
                <w:szCs w:val="18"/>
              </w:rPr>
              <w:t>Disagree</w:t>
            </w:r>
          </w:p>
        </w:tc>
        <w:tc>
          <w:tcPr>
            <w:tcW w:w="1136" w:type="pct"/>
            <w:vAlign w:val="center"/>
          </w:tcPr>
          <w:p w14:paraId="78EF3AB4"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42</w:t>
            </w:r>
          </w:p>
        </w:tc>
        <w:tc>
          <w:tcPr>
            <w:tcW w:w="856" w:type="pct"/>
            <w:vAlign w:val="center"/>
          </w:tcPr>
          <w:p w14:paraId="0CAC0228"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14.8</w:t>
            </w:r>
          </w:p>
        </w:tc>
        <w:tc>
          <w:tcPr>
            <w:tcW w:w="912" w:type="pct"/>
            <w:vAlign w:val="center"/>
          </w:tcPr>
          <w:p w14:paraId="3DDB6843"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22.2</w:t>
            </w:r>
          </w:p>
        </w:tc>
      </w:tr>
      <w:tr w:rsidR="007E1F8A" w:rsidRPr="009E3570" w14:paraId="058E6060" w14:textId="77777777" w:rsidTr="009E3570">
        <w:trPr>
          <w:cantSplit/>
          <w:trHeight w:val="20"/>
        </w:trPr>
        <w:tc>
          <w:tcPr>
            <w:tcW w:w="2096" w:type="pct"/>
            <w:vAlign w:val="center"/>
          </w:tcPr>
          <w:p w14:paraId="7B9725E8" w14:textId="77777777" w:rsidR="007E1F8A" w:rsidRPr="009E3570" w:rsidRDefault="007E1F8A" w:rsidP="005534E0">
            <w:pPr>
              <w:ind w:left="180"/>
              <w:rPr>
                <w:rFonts w:ascii="Verdana" w:eastAsia="Calibri" w:hAnsi="Verdana"/>
                <w:sz w:val="18"/>
                <w:szCs w:val="18"/>
              </w:rPr>
            </w:pPr>
            <w:r w:rsidRPr="009E3570">
              <w:rPr>
                <w:rFonts w:ascii="Verdana" w:eastAsia="Calibri" w:hAnsi="Verdana"/>
                <w:sz w:val="18"/>
                <w:szCs w:val="18"/>
              </w:rPr>
              <w:t>Neutral</w:t>
            </w:r>
          </w:p>
        </w:tc>
        <w:tc>
          <w:tcPr>
            <w:tcW w:w="1136" w:type="pct"/>
            <w:vAlign w:val="center"/>
          </w:tcPr>
          <w:p w14:paraId="70963D80"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46</w:t>
            </w:r>
          </w:p>
        </w:tc>
        <w:tc>
          <w:tcPr>
            <w:tcW w:w="856" w:type="pct"/>
            <w:vAlign w:val="center"/>
          </w:tcPr>
          <w:p w14:paraId="4EC23A08"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16.2</w:t>
            </w:r>
          </w:p>
        </w:tc>
        <w:tc>
          <w:tcPr>
            <w:tcW w:w="912" w:type="pct"/>
            <w:vAlign w:val="center"/>
          </w:tcPr>
          <w:p w14:paraId="0C39195B"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38.4</w:t>
            </w:r>
          </w:p>
        </w:tc>
      </w:tr>
      <w:tr w:rsidR="007E1F8A" w:rsidRPr="009E3570" w14:paraId="55C72DC7" w14:textId="77777777" w:rsidTr="009E3570">
        <w:trPr>
          <w:cantSplit/>
          <w:trHeight w:val="20"/>
        </w:trPr>
        <w:tc>
          <w:tcPr>
            <w:tcW w:w="2096" w:type="pct"/>
            <w:vAlign w:val="center"/>
          </w:tcPr>
          <w:p w14:paraId="4213EBB6" w14:textId="77777777" w:rsidR="007E1F8A" w:rsidRPr="009E3570" w:rsidRDefault="007E1F8A" w:rsidP="005534E0">
            <w:pPr>
              <w:ind w:left="180"/>
              <w:rPr>
                <w:rFonts w:ascii="Verdana" w:eastAsia="Calibri" w:hAnsi="Verdana"/>
                <w:sz w:val="18"/>
                <w:szCs w:val="18"/>
              </w:rPr>
            </w:pPr>
            <w:r w:rsidRPr="009E3570">
              <w:rPr>
                <w:rFonts w:ascii="Verdana" w:eastAsia="Calibri" w:hAnsi="Verdana"/>
                <w:sz w:val="18"/>
                <w:szCs w:val="18"/>
              </w:rPr>
              <w:t>Agree</w:t>
            </w:r>
          </w:p>
        </w:tc>
        <w:tc>
          <w:tcPr>
            <w:tcW w:w="1136" w:type="pct"/>
            <w:vAlign w:val="center"/>
          </w:tcPr>
          <w:p w14:paraId="11467EBC"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123</w:t>
            </w:r>
          </w:p>
        </w:tc>
        <w:tc>
          <w:tcPr>
            <w:tcW w:w="856" w:type="pct"/>
            <w:vAlign w:val="center"/>
          </w:tcPr>
          <w:p w14:paraId="5878AF10"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43.3</w:t>
            </w:r>
          </w:p>
        </w:tc>
        <w:tc>
          <w:tcPr>
            <w:tcW w:w="912" w:type="pct"/>
            <w:vAlign w:val="center"/>
          </w:tcPr>
          <w:p w14:paraId="28E0DE91"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81.7</w:t>
            </w:r>
          </w:p>
        </w:tc>
      </w:tr>
      <w:tr w:rsidR="007E1F8A" w:rsidRPr="009E3570" w14:paraId="4B95A31D" w14:textId="77777777" w:rsidTr="009E3570">
        <w:trPr>
          <w:cantSplit/>
          <w:trHeight w:val="20"/>
        </w:trPr>
        <w:tc>
          <w:tcPr>
            <w:tcW w:w="2096" w:type="pct"/>
            <w:vAlign w:val="center"/>
          </w:tcPr>
          <w:p w14:paraId="5534019C" w14:textId="77777777" w:rsidR="007E1F8A" w:rsidRPr="009E3570" w:rsidRDefault="007E1F8A" w:rsidP="005534E0">
            <w:pPr>
              <w:ind w:left="180"/>
              <w:rPr>
                <w:rFonts w:ascii="Verdana" w:eastAsia="Calibri" w:hAnsi="Verdana"/>
                <w:sz w:val="18"/>
                <w:szCs w:val="18"/>
              </w:rPr>
            </w:pPr>
            <w:r w:rsidRPr="009E3570">
              <w:rPr>
                <w:rFonts w:ascii="Verdana" w:eastAsia="Calibri" w:hAnsi="Verdana"/>
                <w:sz w:val="18"/>
                <w:szCs w:val="18"/>
              </w:rPr>
              <w:t>Strongly Agree</w:t>
            </w:r>
          </w:p>
        </w:tc>
        <w:tc>
          <w:tcPr>
            <w:tcW w:w="1136" w:type="pct"/>
            <w:vAlign w:val="center"/>
          </w:tcPr>
          <w:p w14:paraId="472EA11A"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52</w:t>
            </w:r>
          </w:p>
        </w:tc>
        <w:tc>
          <w:tcPr>
            <w:tcW w:w="856" w:type="pct"/>
            <w:vAlign w:val="center"/>
          </w:tcPr>
          <w:p w14:paraId="62E73DB5"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18.3</w:t>
            </w:r>
          </w:p>
        </w:tc>
        <w:tc>
          <w:tcPr>
            <w:tcW w:w="912" w:type="pct"/>
            <w:vAlign w:val="center"/>
          </w:tcPr>
          <w:p w14:paraId="5C372BBC"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100</w:t>
            </w:r>
          </w:p>
        </w:tc>
      </w:tr>
      <w:tr w:rsidR="007E1F8A" w:rsidRPr="009E3570" w14:paraId="3A2F5BCE" w14:textId="77777777" w:rsidTr="009E3570">
        <w:trPr>
          <w:cantSplit/>
          <w:trHeight w:val="20"/>
        </w:trPr>
        <w:tc>
          <w:tcPr>
            <w:tcW w:w="2096" w:type="pct"/>
            <w:vAlign w:val="center"/>
          </w:tcPr>
          <w:p w14:paraId="469F64E1" w14:textId="77777777" w:rsidR="007E1F8A" w:rsidRPr="009E3570" w:rsidRDefault="007E1F8A" w:rsidP="005534E0">
            <w:pPr>
              <w:ind w:left="180"/>
              <w:rPr>
                <w:rFonts w:ascii="Verdana" w:eastAsia="Calibri" w:hAnsi="Verdana"/>
                <w:sz w:val="18"/>
                <w:szCs w:val="18"/>
              </w:rPr>
            </w:pPr>
            <w:r w:rsidRPr="009E3570">
              <w:rPr>
                <w:rFonts w:ascii="Verdana" w:eastAsia="Calibri" w:hAnsi="Verdana"/>
                <w:sz w:val="18"/>
                <w:szCs w:val="18"/>
              </w:rPr>
              <w:t>Total</w:t>
            </w:r>
          </w:p>
        </w:tc>
        <w:tc>
          <w:tcPr>
            <w:tcW w:w="1136" w:type="pct"/>
            <w:vAlign w:val="center"/>
          </w:tcPr>
          <w:p w14:paraId="6BEDE14E"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284</w:t>
            </w:r>
          </w:p>
        </w:tc>
        <w:tc>
          <w:tcPr>
            <w:tcW w:w="856" w:type="pct"/>
            <w:vAlign w:val="center"/>
          </w:tcPr>
          <w:p w14:paraId="1FE957D0" w14:textId="77777777" w:rsidR="007E1F8A" w:rsidRPr="009E3570" w:rsidRDefault="007E1F8A" w:rsidP="005534E0">
            <w:pPr>
              <w:jc w:val="center"/>
              <w:rPr>
                <w:rFonts w:ascii="Verdana" w:eastAsia="Calibri" w:hAnsi="Verdana"/>
                <w:sz w:val="18"/>
                <w:szCs w:val="18"/>
              </w:rPr>
            </w:pPr>
            <w:r w:rsidRPr="009E3570">
              <w:rPr>
                <w:rFonts w:ascii="Verdana" w:eastAsia="Calibri" w:hAnsi="Verdana"/>
                <w:sz w:val="18"/>
                <w:szCs w:val="18"/>
              </w:rPr>
              <w:t>100</w:t>
            </w:r>
          </w:p>
        </w:tc>
        <w:tc>
          <w:tcPr>
            <w:tcW w:w="912" w:type="pct"/>
            <w:vAlign w:val="center"/>
          </w:tcPr>
          <w:p w14:paraId="55DA7E62" w14:textId="77777777" w:rsidR="007E1F8A" w:rsidRPr="009E3570" w:rsidRDefault="007E1F8A" w:rsidP="005534E0">
            <w:pPr>
              <w:jc w:val="center"/>
              <w:rPr>
                <w:rFonts w:ascii="Verdana" w:eastAsia="Calibri" w:hAnsi="Verdana"/>
                <w:sz w:val="18"/>
                <w:szCs w:val="18"/>
              </w:rPr>
            </w:pPr>
          </w:p>
        </w:tc>
      </w:tr>
    </w:tbl>
    <w:p w14:paraId="45E1BE62" w14:textId="77777777" w:rsidR="007E1F8A" w:rsidRPr="00195E39" w:rsidRDefault="007E1F8A" w:rsidP="007E1F8A">
      <w:pPr>
        <w:rPr>
          <w:rFonts w:ascii="Verdana" w:hAnsi="Verdana"/>
          <w:b/>
          <w:sz w:val="20"/>
          <w:szCs w:val="20"/>
        </w:rPr>
      </w:pPr>
    </w:p>
    <w:p w14:paraId="2E3570D7" w14:textId="234B10B2" w:rsidR="007E1F8A" w:rsidRPr="00CB193F" w:rsidRDefault="007E1F8A" w:rsidP="00CB193F">
      <w:pPr>
        <w:pStyle w:val="ListParagraph"/>
        <w:numPr>
          <w:ilvl w:val="2"/>
          <w:numId w:val="39"/>
        </w:numPr>
        <w:ind w:left="709"/>
        <w:rPr>
          <w:rFonts w:ascii="Verdana" w:hAnsi="Verdana"/>
          <w:b/>
          <w:sz w:val="20"/>
          <w:szCs w:val="20"/>
        </w:rPr>
      </w:pPr>
      <w:r w:rsidRPr="00CB193F">
        <w:rPr>
          <w:rFonts w:ascii="Verdana" w:hAnsi="Verdana"/>
          <w:b/>
          <w:sz w:val="22"/>
          <w:szCs w:val="22"/>
        </w:rPr>
        <w:t>Descriptive Statistics of Openness to Experience</w:t>
      </w:r>
    </w:p>
    <w:p w14:paraId="4852D7E5" w14:textId="77777777" w:rsidR="009E3570" w:rsidRDefault="009E3570" w:rsidP="009E3570">
      <w:pPr>
        <w:ind w:left="0" w:firstLine="720"/>
        <w:rPr>
          <w:rFonts w:ascii="Verdana" w:hAnsi="Verdana"/>
          <w:sz w:val="20"/>
          <w:szCs w:val="20"/>
        </w:rPr>
      </w:pPr>
    </w:p>
    <w:p w14:paraId="5336AA91" w14:textId="759AA257" w:rsidR="007E1F8A" w:rsidRPr="00195E39" w:rsidRDefault="007E1F8A" w:rsidP="009E3570">
      <w:pPr>
        <w:ind w:left="0" w:firstLine="720"/>
        <w:rPr>
          <w:rFonts w:ascii="Verdana" w:hAnsi="Verdana"/>
          <w:sz w:val="20"/>
          <w:szCs w:val="20"/>
        </w:rPr>
      </w:pPr>
      <w:r w:rsidRPr="00195E39">
        <w:rPr>
          <w:rFonts w:ascii="Verdana" w:hAnsi="Verdana"/>
          <w:sz w:val="20"/>
          <w:szCs w:val="20"/>
        </w:rPr>
        <w:t xml:space="preserve">Table 4. provides descriptive statistics on the openness to experience dimension of the personality traits of respondents in Lower Dir. The data reveals that 7.4% strongly disagree and 20.4% disagree with this personality trait. In contrast, a significant portion, 17.3%, remains neutral, while 35.9% and 26.4% agree and strongly agree, respectively, with the openness to experience dimension. The overall pattern indicates that more than half of the investors in Lower Dir express agreement with or strong agreement to this personality trait. The conclusion drawn from the results suggests that investors in the region have a propensity for embracing new experiences, exuding confidence, and possessing a self-assured demeanor. Furthermore, they demonstrate an unconventional approach, relying on creative ideas rather than conforming to conventional wisdom or relying solely on a wealth of information. </w:t>
      </w:r>
    </w:p>
    <w:p w14:paraId="55CE78C9" w14:textId="77777777" w:rsidR="009E3570" w:rsidRDefault="009E3570" w:rsidP="007E1F8A">
      <w:pPr>
        <w:rPr>
          <w:rFonts w:ascii="Verdana" w:hAnsi="Verdana"/>
          <w:b/>
          <w:bCs/>
          <w:sz w:val="20"/>
          <w:szCs w:val="20"/>
        </w:rPr>
      </w:pPr>
    </w:p>
    <w:p w14:paraId="733A5AEF" w14:textId="2D31426F" w:rsidR="007E1F8A" w:rsidRPr="00195E39" w:rsidRDefault="007E1F8A" w:rsidP="007E1F8A">
      <w:pPr>
        <w:rPr>
          <w:rFonts w:ascii="Verdana" w:hAnsi="Verdana"/>
          <w:sz w:val="20"/>
          <w:szCs w:val="20"/>
        </w:rPr>
      </w:pPr>
      <w:r w:rsidRPr="00195E39">
        <w:rPr>
          <w:rFonts w:ascii="Verdana" w:hAnsi="Verdana"/>
          <w:b/>
          <w:bCs/>
          <w:sz w:val="20"/>
          <w:szCs w:val="20"/>
        </w:rPr>
        <w:t>Table 4.</w:t>
      </w:r>
      <w:r w:rsidRPr="00195E39">
        <w:rPr>
          <w:rFonts w:ascii="Verdana" w:hAnsi="Verdana"/>
          <w:sz w:val="20"/>
          <w:szCs w:val="20"/>
        </w:rPr>
        <w:t xml:space="preserve"> </w:t>
      </w:r>
    </w:p>
    <w:p w14:paraId="20BF6FFF" w14:textId="6CFC9667" w:rsidR="007E1F8A" w:rsidRPr="009E3570" w:rsidRDefault="007E1F8A" w:rsidP="007E1F8A">
      <w:pPr>
        <w:rPr>
          <w:rFonts w:ascii="Verdana" w:hAnsi="Verdana"/>
          <w:b/>
          <w:bCs/>
          <w:i/>
          <w:iCs/>
          <w:sz w:val="20"/>
          <w:szCs w:val="20"/>
        </w:rPr>
      </w:pPr>
      <w:r w:rsidRPr="009E3570">
        <w:rPr>
          <w:rFonts w:ascii="Verdana" w:hAnsi="Verdana"/>
          <w:b/>
          <w:bCs/>
          <w:i/>
          <w:iCs/>
          <w:sz w:val="20"/>
          <w:szCs w:val="20"/>
        </w:rPr>
        <w:t>Descriptive Statistics of Openness to Experience</w:t>
      </w:r>
    </w:p>
    <w:tbl>
      <w:tblPr>
        <w:tblStyle w:val="TableGrid"/>
        <w:tblW w:w="4615"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4"/>
        <w:gridCol w:w="2113"/>
        <w:gridCol w:w="1592"/>
        <w:gridCol w:w="1697"/>
      </w:tblGrid>
      <w:tr w:rsidR="007E1F8A" w:rsidRPr="009E3570" w14:paraId="59D0BB7D" w14:textId="77777777" w:rsidTr="009E3570">
        <w:trPr>
          <w:cantSplit/>
          <w:trHeight w:val="20"/>
        </w:trPr>
        <w:tc>
          <w:tcPr>
            <w:tcW w:w="2037" w:type="pct"/>
            <w:tcBorders>
              <w:top w:val="single" w:sz="4" w:space="0" w:color="auto"/>
              <w:bottom w:val="single" w:sz="4" w:space="0" w:color="auto"/>
            </w:tcBorders>
            <w:vAlign w:val="center"/>
          </w:tcPr>
          <w:p w14:paraId="6B385623" w14:textId="77777777" w:rsidR="007E1F8A" w:rsidRPr="009E3570" w:rsidRDefault="007E1F8A" w:rsidP="005534E0">
            <w:pPr>
              <w:ind w:left="270"/>
              <w:rPr>
                <w:rFonts w:ascii="Verdana" w:eastAsia="Calibri" w:hAnsi="Verdana"/>
                <w:b/>
                <w:bCs/>
                <w:sz w:val="18"/>
                <w:szCs w:val="18"/>
              </w:rPr>
            </w:pPr>
            <w:r w:rsidRPr="009E3570">
              <w:rPr>
                <w:rFonts w:ascii="Verdana" w:eastAsia="Calibri" w:hAnsi="Verdana"/>
                <w:b/>
                <w:bCs/>
                <w:sz w:val="18"/>
                <w:szCs w:val="18"/>
              </w:rPr>
              <w:t>Responses</w:t>
            </w:r>
          </w:p>
        </w:tc>
        <w:tc>
          <w:tcPr>
            <w:tcW w:w="1159" w:type="pct"/>
            <w:tcBorders>
              <w:top w:val="single" w:sz="4" w:space="0" w:color="auto"/>
              <w:bottom w:val="single" w:sz="4" w:space="0" w:color="auto"/>
            </w:tcBorders>
            <w:vAlign w:val="center"/>
          </w:tcPr>
          <w:p w14:paraId="6B4D6803" w14:textId="77777777" w:rsidR="007E1F8A" w:rsidRPr="009E3570" w:rsidRDefault="007E1F8A" w:rsidP="009E3570">
            <w:pPr>
              <w:ind w:left="0" w:firstLine="0"/>
              <w:rPr>
                <w:rFonts w:ascii="Verdana" w:eastAsia="Calibri" w:hAnsi="Verdana"/>
                <w:b/>
                <w:bCs/>
                <w:sz w:val="18"/>
                <w:szCs w:val="18"/>
              </w:rPr>
            </w:pPr>
            <w:r w:rsidRPr="009E3570">
              <w:rPr>
                <w:rFonts w:ascii="Verdana" w:eastAsia="Calibri" w:hAnsi="Verdana"/>
                <w:b/>
                <w:bCs/>
                <w:sz w:val="18"/>
                <w:szCs w:val="18"/>
              </w:rPr>
              <w:t>Frequency</w:t>
            </w:r>
          </w:p>
        </w:tc>
        <w:tc>
          <w:tcPr>
            <w:tcW w:w="873" w:type="pct"/>
            <w:tcBorders>
              <w:top w:val="single" w:sz="4" w:space="0" w:color="auto"/>
              <w:bottom w:val="single" w:sz="4" w:space="0" w:color="auto"/>
            </w:tcBorders>
            <w:vAlign w:val="center"/>
          </w:tcPr>
          <w:p w14:paraId="139C1921" w14:textId="77777777" w:rsidR="007E1F8A" w:rsidRPr="009E3570" w:rsidRDefault="007E1F8A" w:rsidP="009E3570">
            <w:pPr>
              <w:ind w:left="0" w:firstLine="0"/>
              <w:rPr>
                <w:rFonts w:ascii="Verdana" w:eastAsia="Calibri" w:hAnsi="Verdana"/>
                <w:b/>
                <w:bCs/>
                <w:sz w:val="18"/>
                <w:szCs w:val="18"/>
              </w:rPr>
            </w:pPr>
            <w:r w:rsidRPr="009E3570">
              <w:rPr>
                <w:rFonts w:ascii="Verdana" w:eastAsia="Calibri" w:hAnsi="Verdana"/>
                <w:b/>
                <w:bCs/>
                <w:sz w:val="18"/>
                <w:szCs w:val="18"/>
              </w:rPr>
              <w:t>Percent</w:t>
            </w:r>
          </w:p>
        </w:tc>
        <w:tc>
          <w:tcPr>
            <w:tcW w:w="931" w:type="pct"/>
            <w:tcBorders>
              <w:top w:val="single" w:sz="4" w:space="0" w:color="auto"/>
              <w:bottom w:val="single" w:sz="4" w:space="0" w:color="auto"/>
            </w:tcBorders>
            <w:vAlign w:val="center"/>
          </w:tcPr>
          <w:p w14:paraId="667CB8F7" w14:textId="1F935185" w:rsidR="007E1F8A" w:rsidRPr="009E3570" w:rsidRDefault="009E3570" w:rsidP="009E3570">
            <w:pPr>
              <w:ind w:left="0" w:firstLine="0"/>
              <w:rPr>
                <w:rFonts w:ascii="Verdana" w:eastAsia="Calibri" w:hAnsi="Verdana"/>
                <w:b/>
                <w:bCs/>
                <w:sz w:val="18"/>
                <w:szCs w:val="18"/>
              </w:rPr>
            </w:pPr>
            <w:r>
              <w:rPr>
                <w:rFonts w:ascii="Verdana" w:eastAsia="Calibri" w:hAnsi="Verdana"/>
                <w:b/>
                <w:bCs/>
                <w:sz w:val="18"/>
                <w:szCs w:val="18"/>
              </w:rPr>
              <w:t>C</w:t>
            </w:r>
            <w:r w:rsidR="007E1F8A" w:rsidRPr="009E3570">
              <w:rPr>
                <w:rFonts w:ascii="Verdana" w:eastAsia="Calibri" w:hAnsi="Verdana"/>
                <w:b/>
                <w:bCs/>
                <w:sz w:val="18"/>
                <w:szCs w:val="18"/>
              </w:rPr>
              <w:t>umulative</w:t>
            </w:r>
          </w:p>
        </w:tc>
      </w:tr>
      <w:tr w:rsidR="007E1F8A" w:rsidRPr="009E3570" w14:paraId="1BB5EAC8" w14:textId="77777777" w:rsidTr="009E3570">
        <w:trPr>
          <w:cantSplit/>
          <w:trHeight w:val="20"/>
        </w:trPr>
        <w:tc>
          <w:tcPr>
            <w:tcW w:w="2037" w:type="pct"/>
            <w:tcBorders>
              <w:top w:val="single" w:sz="4" w:space="0" w:color="auto"/>
            </w:tcBorders>
            <w:vAlign w:val="center"/>
          </w:tcPr>
          <w:p w14:paraId="37B5897F" w14:textId="77777777" w:rsidR="007E1F8A" w:rsidRPr="009E3570" w:rsidRDefault="007E1F8A" w:rsidP="005534E0">
            <w:pPr>
              <w:ind w:left="270"/>
              <w:rPr>
                <w:rFonts w:ascii="Verdana" w:eastAsia="Calibri" w:hAnsi="Verdana"/>
                <w:sz w:val="18"/>
                <w:szCs w:val="18"/>
              </w:rPr>
            </w:pPr>
            <w:r w:rsidRPr="009E3570">
              <w:rPr>
                <w:rFonts w:ascii="Verdana" w:eastAsia="Calibri" w:hAnsi="Verdana"/>
                <w:sz w:val="18"/>
                <w:szCs w:val="18"/>
              </w:rPr>
              <w:t>Strongly Disagree</w:t>
            </w:r>
          </w:p>
        </w:tc>
        <w:tc>
          <w:tcPr>
            <w:tcW w:w="1159" w:type="pct"/>
            <w:tcBorders>
              <w:top w:val="single" w:sz="4" w:space="0" w:color="auto"/>
            </w:tcBorders>
            <w:vAlign w:val="center"/>
          </w:tcPr>
          <w:p w14:paraId="4A6893DE" w14:textId="77777777" w:rsidR="007E1F8A" w:rsidRPr="009E3570" w:rsidRDefault="007E1F8A" w:rsidP="005534E0">
            <w:pPr>
              <w:ind w:left="630"/>
              <w:rPr>
                <w:rFonts w:ascii="Verdana" w:eastAsia="Calibri" w:hAnsi="Verdana"/>
                <w:sz w:val="18"/>
                <w:szCs w:val="18"/>
              </w:rPr>
            </w:pPr>
            <w:r w:rsidRPr="009E3570">
              <w:rPr>
                <w:rFonts w:ascii="Verdana" w:eastAsia="Calibri" w:hAnsi="Verdana"/>
                <w:sz w:val="18"/>
                <w:szCs w:val="18"/>
              </w:rPr>
              <w:t>21</w:t>
            </w:r>
          </w:p>
        </w:tc>
        <w:tc>
          <w:tcPr>
            <w:tcW w:w="873" w:type="pct"/>
            <w:tcBorders>
              <w:top w:val="single" w:sz="4" w:space="0" w:color="auto"/>
            </w:tcBorders>
            <w:vAlign w:val="center"/>
          </w:tcPr>
          <w:p w14:paraId="28FD9779" w14:textId="77777777" w:rsidR="007E1F8A" w:rsidRPr="009E3570" w:rsidRDefault="007E1F8A" w:rsidP="005534E0">
            <w:pPr>
              <w:ind w:left="468"/>
              <w:rPr>
                <w:rFonts w:ascii="Verdana" w:eastAsia="Calibri" w:hAnsi="Verdana"/>
                <w:sz w:val="18"/>
                <w:szCs w:val="18"/>
              </w:rPr>
            </w:pPr>
            <w:r w:rsidRPr="009E3570">
              <w:rPr>
                <w:rFonts w:ascii="Verdana" w:eastAsia="Calibri" w:hAnsi="Verdana"/>
                <w:sz w:val="18"/>
                <w:szCs w:val="18"/>
              </w:rPr>
              <w:t>7.4</w:t>
            </w:r>
          </w:p>
        </w:tc>
        <w:tc>
          <w:tcPr>
            <w:tcW w:w="931" w:type="pct"/>
            <w:tcBorders>
              <w:top w:val="single" w:sz="4" w:space="0" w:color="auto"/>
            </w:tcBorders>
            <w:vAlign w:val="center"/>
          </w:tcPr>
          <w:p w14:paraId="23A8BF0C" w14:textId="77777777" w:rsidR="007E1F8A" w:rsidRPr="009E3570" w:rsidRDefault="007E1F8A" w:rsidP="005534E0">
            <w:pPr>
              <w:ind w:left="372"/>
              <w:rPr>
                <w:rFonts w:ascii="Verdana" w:eastAsia="Calibri" w:hAnsi="Verdana"/>
                <w:sz w:val="18"/>
                <w:szCs w:val="18"/>
              </w:rPr>
            </w:pPr>
            <w:r w:rsidRPr="009E3570">
              <w:rPr>
                <w:rFonts w:ascii="Verdana" w:eastAsia="Calibri" w:hAnsi="Verdana"/>
                <w:sz w:val="18"/>
                <w:szCs w:val="18"/>
              </w:rPr>
              <w:t>7.40</w:t>
            </w:r>
          </w:p>
        </w:tc>
      </w:tr>
      <w:tr w:rsidR="007E1F8A" w:rsidRPr="009E3570" w14:paraId="152590F3" w14:textId="77777777" w:rsidTr="009E3570">
        <w:trPr>
          <w:cantSplit/>
          <w:trHeight w:val="20"/>
        </w:trPr>
        <w:tc>
          <w:tcPr>
            <w:tcW w:w="2037" w:type="pct"/>
            <w:vAlign w:val="center"/>
          </w:tcPr>
          <w:p w14:paraId="2CFCAFB5" w14:textId="77777777" w:rsidR="007E1F8A" w:rsidRPr="009E3570" w:rsidRDefault="007E1F8A" w:rsidP="005534E0">
            <w:pPr>
              <w:ind w:left="270"/>
              <w:rPr>
                <w:rFonts w:ascii="Verdana" w:eastAsia="Calibri" w:hAnsi="Verdana"/>
                <w:sz w:val="18"/>
                <w:szCs w:val="18"/>
              </w:rPr>
            </w:pPr>
            <w:r w:rsidRPr="009E3570">
              <w:rPr>
                <w:rFonts w:ascii="Verdana" w:eastAsia="Calibri" w:hAnsi="Verdana"/>
                <w:sz w:val="18"/>
                <w:szCs w:val="18"/>
              </w:rPr>
              <w:t>Disagree</w:t>
            </w:r>
          </w:p>
        </w:tc>
        <w:tc>
          <w:tcPr>
            <w:tcW w:w="1159" w:type="pct"/>
            <w:vAlign w:val="center"/>
          </w:tcPr>
          <w:p w14:paraId="74ED7D4E" w14:textId="77777777" w:rsidR="007E1F8A" w:rsidRPr="009E3570" w:rsidRDefault="007E1F8A" w:rsidP="005534E0">
            <w:pPr>
              <w:ind w:left="630"/>
              <w:rPr>
                <w:rFonts w:ascii="Verdana" w:eastAsia="Calibri" w:hAnsi="Verdana"/>
                <w:sz w:val="18"/>
                <w:szCs w:val="18"/>
              </w:rPr>
            </w:pPr>
            <w:r w:rsidRPr="009E3570">
              <w:rPr>
                <w:rFonts w:ascii="Verdana" w:eastAsia="Calibri" w:hAnsi="Verdana"/>
                <w:sz w:val="18"/>
                <w:szCs w:val="18"/>
              </w:rPr>
              <w:t>37</w:t>
            </w:r>
          </w:p>
        </w:tc>
        <w:tc>
          <w:tcPr>
            <w:tcW w:w="873" w:type="pct"/>
            <w:vAlign w:val="center"/>
          </w:tcPr>
          <w:p w14:paraId="55ED0F46" w14:textId="77777777" w:rsidR="007E1F8A" w:rsidRPr="009E3570" w:rsidRDefault="007E1F8A" w:rsidP="005534E0">
            <w:pPr>
              <w:ind w:left="468"/>
              <w:rPr>
                <w:rFonts w:ascii="Verdana" w:eastAsia="Calibri" w:hAnsi="Verdana"/>
                <w:sz w:val="18"/>
                <w:szCs w:val="18"/>
              </w:rPr>
            </w:pPr>
            <w:r w:rsidRPr="009E3570">
              <w:rPr>
                <w:rFonts w:ascii="Verdana" w:eastAsia="Calibri" w:hAnsi="Verdana"/>
                <w:sz w:val="18"/>
                <w:szCs w:val="18"/>
              </w:rPr>
              <w:t>13</w:t>
            </w:r>
          </w:p>
        </w:tc>
        <w:tc>
          <w:tcPr>
            <w:tcW w:w="931" w:type="pct"/>
            <w:vAlign w:val="center"/>
          </w:tcPr>
          <w:p w14:paraId="026FC6AD" w14:textId="77777777" w:rsidR="007E1F8A" w:rsidRPr="009E3570" w:rsidRDefault="007E1F8A" w:rsidP="005534E0">
            <w:pPr>
              <w:ind w:left="372"/>
              <w:rPr>
                <w:rFonts w:ascii="Verdana" w:eastAsia="Calibri" w:hAnsi="Verdana"/>
                <w:sz w:val="18"/>
                <w:szCs w:val="18"/>
              </w:rPr>
            </w:pPr>
            <w:r w:rsidRPr="009E3570">
              <w:rPr>
                <w:rFonts w:ascii="Verdana" w:eastAsia="Calibri" w:hAnsi="Verdana"/>
                <w:sz w:val="18"/>
                <w:szCs w:val="18"/>
              </w:rPr>
              <w:t>20.4</w:t>
            </w:r>
          </w:p>
        </w:tc>
      </w:tr>
      <w:tr w:rsidR="007E1F8A" w:rsidRPr="009E3570" w14:paraId="2F8EFFD2" w14:textId="77777777" w:rsidTr="009E3570">
        <w:trPr>
          <w:cantSplit/>
          <w:trHeight w:val="20"/>
        </w:trPr>
        <w:tc>
          <w:tcPr>
            <w:tcW w:w="2037" w:type="pct"/>
            <w:vAlign w:val="center"/>
          </w:tcPr>
          <w:p w14:paraId="5D36734C" w14:textId="77777777" w:rsidR="007E1F8A" w:rsidRPr="009E3570" w:rsidRDefault="007E1F8A" w:rsidP="005534E0">
            <w:pPr>
              <w:ind w:left="270"/>
              <w:rPr>
                <w:rFonts w:ascii="Verdana" w:eastAsia="Calibri" w:hAnsi="Verdana"/>
                <w:sz w:val="18"/>
                <w:szCs w:val="18"/>
              </w:rPr>
            </w:pPr>
            <w:r w:rsidRPr="009E3570">
              <w:rPr>
                <w:rFonts w:ascii="Verdana" w:eastAsia="Calibri" w:hAnsi="Verdana"/>
                <w:sz w:val="18"/>
                <w:szCs w:val="18"/>
              </w:rPr>
              <w:t>Neutral</w:t>
            </w:r>
          </w:p>
        </w:tc>
        <w:tc>
          <w:tcPr>
            <w:tcW w:w="1159" w:type="pct"/>
            <w:vAlign w:val="center"/>
          </w:tcPr>
          <w:p w14:paraId="0CF22439" w14:textId="77777777" w:rsidR="007E1F8A" w:rsidRPr="009E3570" w:rsidRDefault="007E1F8A" w:rsidP="005534E0">
            <w:pPr>
              <w:ind w:left="630"/>
              <w:rPr>
                <w:rFonts w:ascii="Verdana" w:eastAsia="Calibri" w:hAnsi="Verdana"/>
                <w:sz w:val="18"/>
                <w:szCs w:val="18"/>
              </w:rPr>
            </w:pPr>
            <w:r w:rsidRPr="009E3570">
              <w:rPr>
                <w:rFonts w:ascii="Verdana" w:eastAsia="Calibri" w:hAnsi="Verdana"/>
                <w:sz w:val="18"/>
                <w:szCs w:val="18"/>
              </w:rPr>
              <w:t>49</w:t>
            </w:r>
          </w:p>
        </w:tc>
        <w:tc>
          <w:tcPr>
            <w:tcW w:w="873" w:type="pct"/>
            <w:vAlign w:val="center"/>
          </w:tcPr>
          <w:p w14:paraId="40644A9E" w14:textId="77777777" w:rsidR="007E1F8A" w:rsidRPr="009E3570" w:rsidRDefault="007E1F8A" w:rsidP="005534E0">
            <w:pPr>
              <w:ind w:left="468"/>
              <w:rPr>
                <w:rFonts w:ascii="Verdana" w:eastAsia="Calibri" w:hAnsi="Verdana"/>
                <w:sz w:val="18"/>
                <w:szCs w:val="18"/>
              </w:rPr>
            </w:pPr>
            <w:r w:rsidRPr="009E3570">
              <w:rPr>
                <w:rFonts w:ascii="Verdana" w:eastAsia="Calibri" w:hAnsi="Verdana"/>
                <w:sz w:val="18"/>
                <w:szCs w:val="18"/>
              </w:rPr>
              <w:t>17.3</w:t>
            </w:r>
          </w:p>
        </w:tc>
        <w:tc>
          <w:tcPr>
            <w:tcW w:w="931" w:type="pct"/>
            <w:vAlign w:val="center"/>
          </w:tcPr>
          <w:p w14:paraId="628F53CE" w14:textId="77777777" w:rsidR="007E1F8A" w:rsidRPr="009E3570" w:rsidRDefault="007E1F8A" w:rsidP="005534E0">
            <w:pPr>
              <w:ind w:left="372"/>
              <w:rPr>
                <w:rFonts w:ascii="Verdana" w:eastAsia="Calibri" w:hAnsi="Verdana"/>
                <w:sz w:val="18"/>
                <w:szCs w:val="18"/>
              </w:rPr>
            </w:pPr>
            <w:r w:rsidRPr="009E3570">
              <w:rPr>
                <w:rFonts w:ascii="Verdana" w:eastAsia="Calibri" w:hAnsi="Verdana"/>
                <w:sz w:val="18"/>
                <w:szCs w:val="18"/>
              </w:rPr>
              <w:t>37.7</w:t>
            </w:r>
          </w:p>
        </w:tc>
      </w:tr>
      <w:tr w:rsidR="007E1F8A" w:rsidRPr="009E3570" w14:paraId="18D83308" w14:textId="77777777" w:rsidTr="009E3570">
        <w:trPr>
          <w:cantSplit/>
          <w:trHeight w:val="20"/>
        </w:trPr>
        <w:tc>
          <w:tcPr>
            <w:tcW w:w="2037" w:type="pct"/>
            <w:vAlign w:val="center"/>
          </w:tcPr>
          <w:p w14:paraId="1BF8EA0B" w14:textId="77777777" w:rsidR="007E1F8A" w:rsidRPr="009E3570" w:rsidRDefault="007E1F8A" w:rsidP="005534E0">
            <w:pPr>
              <w:ind w:left="270"/>
              <w:rPr>
                <w:rFonts w:ascii="Verdana" w:eastAsia="Calibri" w:hAnsi="Verdana"/>
                <w:sz w:val="18"/>
                <w:szCs w:val="18"/>
              </w:rPr>
            </w:pPr>
            <w:r w:rsidRPr="009E3570">
              <w:rPr>
                <w:rFonts w:ascii="Verdana" w:eastAsia="Calibri" w:hAnsi="Verdana"/>
                <w:sz w:val="18"/>
                <w:szCs w:val="18"/>
              </w:rPr>
              <w:t>Agree</w:t>
            </w:r>
          </w:p>
        </w:tc>
        <w:tc>
          <w:tcPr>
            <w:tcW w:w="1159" w:type="pct"/>
            <w:vAlign w:val="center"/>
          </w:tcPr>
          <w:p w14:paraId="373757CD" w14:textId="77777777" w:rsidR="007E1F8A" w:rsidRPr="009E3570" w:rsidRDefault="007E1F8A" w:rsidP="005534E0">
            <w:pPr>
              <w:ind w:left="630"/>
              <w:rPr>
                <w:rFonts w:ascii="Verdana" w:eastAsia="Calibri" w:hAnsi="Verdana"/>
                <w:sz w:val="18"/>
                <w:szCs w:val="18"/>
              </w:rPr>
            </w:pPr>
            <w:r w:rsidRPr="009E3570">
              <w:rPr>
                <w:rFonts w:ascii="Verdana" w:eastAsia="Calibri" w:hAnsi="Verdana"/>
                <w:sz w:val="18"/>
                <w:szCs w:val="18"/>
              </w:rPr>
              <w:t>102</w:t>
            </w:r>
          </w:p>
        </w:tc>
        <w:tc>
          <w:tcPr>
            <w:tcW w:w="873" w:type="pct"/>
            <w:vAlign w:val="center"/>
          </w:tcPr>
          <w:p w14:paraId="613028F7" w14:textId="77777777" w:rsidR="007E1F8A" w:rsidRPr="009E3570" w:rsidRDefault="007E1F8A" w:rsidP="005534E0">
            <w:pPr>
              <w:ind w:left="468"/>
              <w:rPr>
                <w:rFonts w:ascii="Verdana" w:eastAsia="Calibri" w:hAnsi="Verdana"/>
                <w:sz w:val="18"/>
                <w:szCs w:val="18"/>
              </w:rPr>
            </w:pPr>
            <w:r w:rsidRPr="009E3570">
              <w:rPr>
                <w:rFonts w:ascii="Verdana" w:eastAsia="Calibri" w:hAnsi="Verdana"/>
                <w:sz w:val="18"/>
                <w:szCs w:val="18"/>
              </w:rPr>
              <w:t>35.9</w:t>
            </w:r>
          </w:p>
        </w:tc>
        <w:tc>
          <w:tcPr>
            <w:tcW w:w="931" w:type="pct"/>
            <w:vAlign w:val="center"/>
          </w:tcPr>
          <w:p w14:paraId="0FA06F3D" w14:textId="77777777" w:rsidR="007E1F8A" w:rsidRPr="009E3570" w:rsidRDefault="007E1F8A" w:rsidP="005534E0">
            <w:pPr>
              <w:ind w:left="372"/>
              <w:rPr>
                <w:rFonts w:ascii="Verdana" w:eastAsia="Calibri" w:hAnsi="Verdana"/>
                <w:sz w:val="18"/>
                <w:szCs w:val="18"/>
              </w:rPr>
            </w:pPr>
            <w:r w:rsidRPr="009E3570">
              <w:rPr>
                <w:rFonts w:ascii="Verdana" w:eastAsia="Calibri" w:hAnsi="Verdana"/>
                <w:sz w:val="18"/>
                <w:szCs w:val="18"/>
              </w:rPr>
              <w:t>73.6</w:t>
            </w:r>
          </w:p>
        </w:tc>
      </w:tr>
      <w:tr w:rsidR="007E1F8A" w:rsidRPr="009E3570" w14:paraId="27526781" w14:textId="77777777" w:rsidTr="009E3570">
        <w:trPr>
          <w:cantSplit/>
          <w:trHeight w:val="20"/>
        </w:trPr>
        <w:tc>
          <w:tcPr>
            <w:tcW w:w="2037" w:type="pct"/>
            <w:vAlign w:val="center"/>
          </w:tcPr>
          <w:p w14:paraId="392A7267" w14:textId="77777777" w:rsidR="007E1F8A" w:rsidRPr="009E3570" w:rsidRDefault="007E1F8A" w:rsidP="005534E0">
            <w:pPr>
              <w:ind w:left="270"/>
              <w:rPr>
                <w:rFonts w:ascii="Verdana" w:eastAsia="Calibri" w:hAnsi="Verdana"/>
                <w:sz w:val="18"/>
                <w:szCs w:val="18"/>
              </w:rPr>
            </w:pPr>
            <w:r w:rsidRPr="009E3570">
              <w:rPr>
                <w:rFonts w:ascii="Verdana" w:eastAsia="Calibri" w:hAnsi="Verdana"/>
                <w:sz w:val="18"/>
                <w:szCs w:val="18"/>
              </w:rPr>
              <w:t>Strongly Agree</w:t>
            </w:r>
          </w:p>
        </w:tc>
        <w:tc>
          <w:tcPr>
            <w:tcW w:w="1159" w:type="pct"/>
            <w:vAlign w:val="center"/>
          </w:tcPr>
          <w:p w14:paraId="2C73B19C" w14:textId="77777777" w:rsidR="007E1F8A" w:rsidRPr="009E3570" w:rsidRDefault="007E1F8A" w:rsidP="005534E0">
            <w:pPr>
              <w:ind w:left="630"/>
              <w:rPr>
                <w:rFonts w:ascii="Verdana" w:eastAsia="Calibri" w:hAnsi="Verdana"/>
                <w:sz w:val="18"/>
                <w:szCs w:val="18"/>
              </w:rPr>
            </w:pPr>
            <w:r w:rsidRPr="009E3570">
              <w:rPr>
                <w:rFonts w:ascii="Verdana" w:eastAsia="Calibri" w:hAnsi="Verdana"/>
                <w:sz w:val="18"/>
                <w:szCs w:val="18"/>
              </w:rPr>
              <w:t>75</w:t>
            </w:r>
          </w:p>
        </w:tc>
        <w:tc>
          <w:tcPr>
            <w:tcW w:w="873" w:type="pct"/>
            <w:vAlign w:val="center"/>
          </w:tcPr>
          <w:p w14:paraId="6D717F7E" w14:textId="77777777" w:rsidR="007E1F8A" w:rsidRPr="009E3570" w:rsidRDefault="007E1F8A" w:rsidP="005534E0">
            <w:pPr>
              <w:ind w:left="468"/>
              <w:rPr>
                <w:rFonts w:ascii="Verdana" w:eastAsia="Calibri" w:hAnsi="Verdana"/>
                <w:sz w:val="18"/>
                <w:szCs w:val="18"/>
              </w:rPr>
            </w:pPr>
            <w:r w:rsidRPr="009E3570">
              <w:rPr>
                <w:rFonts w:ascii="Verdana" w:eastAsia="Calibri" w:hAnsi="Verdana"/>
                <w:sz w:val="18"/>
                <w:szCs w:val="18"/>
              </w:rPr>
              <w:t>26.4</w:t>
            </w:r>
          </w:p>
        </w:tc>
        <w:tc>
          <w:tcPr>
            <w:tcW w:w="931" w:type="pct"/>
            <w:vAlign w:val="center"/>
          </w:tcPr>
          <w:p w14:paraId="3634EC1A" w14:textId="77777777" w:rsidR="007E1F8A" w:rsidRPr="009E3570" w:rsidRDefault="007E1F8A" w:rsidP="005534E0">
            <w:pPr>
              <w:ind w:left="372"/>
              <w:rPr>
                <w:rFonts w:ascii="Verdana" w:eastAsia="Calibri" w:hAnsi="Verdana"/>
                <w:sz w:val="18"/>
                <w:szCs w:val="18"/>
              </w:rPr>
            </w:pPr>
            <w:r w:rsidRPr="009E3570">
              <w:rPr>
                <w:rFonts w:ascii="Verdana" w:eastAsia="Calibri" w:hAnsi="Verdana"/>
                <w:sz w:val="18"/>
                <w:szCs w:val="18"/>
              </w:rPr>
              <w:t>100</w:t>
            </w:r>
          </w:p>
        </w:tc>
      </w:tr>
      <w:tr w:rsidR="007E1F8A" w:rsidRPr="009E3570" w14:paraId="026AB44A" w14:textId="77777777" w:rsidTr="009E3570">
        <w:trPr>
          <w:cantSplit/>
          <w:trHeight w:val="20"/>
        </w:trPr>
        <w:tc>
          <w:tcPr>
            <w:tcW w:w="2037" w:type="pct"/>
            <w:vAlign w:val="center"/>
          </w:tcPr>
          <w:p w14:paraId="1F599356" w14:textId="77777777" w:rsidR="007E1F8A" w:rsidRPr="009E3570" w:rsidRDefault="007E1F8A" w:rsidP="005534E0">
            <w:pPr>
              <w:ind w:left="270"/>
              <w:rPr>
                <w:rFonts w:ascii="Verdana" w:eastAsia="Calibri" w:hAnsi="Verdana"/>
                <w:sz w:val="18"/>
                <w:szCs w:val="18"/>
              </w:rPr>
            </w:pPr>
            <w:r w:rsidRPr="009E3570">
              <w:rPr>
                <w:rFonts w:ascii="Verdana" w:eastAsia="Calibri" w:hAnsi="Verdana"/>
                <w:sz w:val="18"/>
                <w:szCs w:val="18"/>
              </w:rPr>
              <w:t>Total</w:t>
            </w:r>
          </w:p>
        </w:tc>
        <w:tc>
          <w:tcPr>
            <w:tcW w:w="1159" w:type="pct"/>
            <w:vAlign w:val="center"/>
          </w:tcPr>
          <w:p w14:paraId="4A760B0E" w14:textId="77777777" w:rsidR="007E1F8A" w:rsidRPr="009E3570" w:rsidRDefault="007E1F8A" w:rsidP="005534E0">
            <w:pPr>
              <w:ind w:left="630"/>
              <w:rPr>
                <w:rFonts w:ascii="Verdana" w:eastAsia="Calibri" w:hAnsi="Verdana"/>
                <w:sz w:val="18"/>
                <w:szCs w:val="18"/>
              </w:rPr>
            </w:pPr>
            <w:r w:rsidRPr="009E3570">
              <w:rPr>
                <w:rFonts w:ascii="Verdana" w:eastAsia="Calibri" w:hAnsi="Verdana"/>
                <w:sz w:val="18"/>
                <w:szCs w:val="18"/>
              </w:rPr>
              <w:t>284</w:t>
            </w:r>
          </w:p>
        </w:tc>
        <w:tc>
          <w:tcPr>
            <w:tcW w:w="873" w:type="pct"/>
            <w:vAlign w:val="center"/>
          </w:tcPr>
          <w:p w14:paraId="2D92F67F" w14:textId="77777777" w:rsidR="007E1F8A" w:rsidRPr="009E3570" w:rsidRDefault="007E1F8A" w:rsidP="005534E0">
            <w:pPr>
              <w:ind w:left="468"/>
              <w:rPr>
                <w:rFonts w:ascii="Verdana" w:eastAsia="Calibri" w:hAnsi="Verdana"/>
                <w:sz w:val="18"/>
                <w:szCs w:val="18"/>
              </w:rPr>
            </w:pPr>
            <w:r w:rsidRPr="009E3570">
              <w:rPr>
                <w:rFonts w:ascii="Verdana" w:eastAsia="Calibri" w:hAnsi="Verdana"/>
                <w:sz w:val="18"/>
                <w:szCs w:val="18"/>
              </w:rPr>
              <w:t>100</w:t>
            </w:r>
          </w:p>
        </w:tc>
        <w:tc>
          <w:tcPr>
            <w:tcW w:w="931" w:type="pct"/>
            <w:vAlign w:val="center"/>
          </w:tcPr>
          <w:p w14:paraId="7A073AE1" w14:textId="77777777" w:rsidR="007E1F8A" w:rsidRPr="009E3570" w:rsidRDefault="007E1F8A" w:rsidP="005534E0">
            <w:pPr>
              <w:jc w:val="center"/>
              <w:rPr>
                <w:rFonts w:ascii="Verdana" w:eastAsia="Calibri" w:hAnsi="Verdana"/>
                <w:sz w:val="18"/>
                <w:szCs w:val="18"/>
              </w:rPr>
            </w:pPr>
          </w:p>
        </w:tc>
      </w:tr>
    </w:tbl>
    <w:p w14:paraId="529339BF" w14:textId="77777777" w:rsidR="007E1F8A" w:rsidRPr="00195E39" w:rsidRDefault="007E1F8A" w:rsidP="007E1F8A">
      <w:pPr>
        <w:rPr>
          <w:rFonts w:ascii="Verdana" w:hAnsi="Verdana"/>
          <w:sz w:val="20"/>
          <w:szCs w:val="20"/>
        </w:rPr>
      </w:pPr>
    </w:p>
    <w:p w14:paraId="751B3D70" w14:textId="3C12B76C" w:rsidR="007E1F8A" w:rsidRPr="00503B44" w:rsidRDefault="007E1F8A" w:rsidP="008710DE">
      <w:pPr>
        <w:pStyle w:val="ListParagraph"/>
        <w:numPr>
          <w:ilvl w:val="2"/>
          <w:numId w:val="39"/>
        </w:numPr>
        <w:ind w:left="709"/>
        <w:rPr>
          <w:rFonts w:ascii="Verdana" w:hAnsi="Verdana"/>
          <w:b/>
          <w:sz w:val="22"/>
          <w:szCs w:val="22"/>
        </w:rPr>
      </w:pPr>
      <w:r w:rsidRPr="00503B44">
        <w:rPr>
          <w:rFonts w:ascii="Verdana" w:hAnsi="Verdana"/>
          <w:b/>
          <w:sz w:val="22"/>
          <w:szCs w:val="22"/>
        </w:rPr>
        <w:t xml:space="preserve">Descriptive </w:t>
      </w:r>
      <w:r w:rsidR="00A708A9" w:rsidRPr="00503B44">
        <w:rPr>
          <w:rFonts w:ascii="Verdana" w:hAnsi="Verdana"/>
          <w:b/>
          <w:sz w:val="22"/>
          <w:szCs w:val="22"/>
        </w:rPr>
        <w:t>S</w:t>
      </w:r>
      <w:r w:rsidRPr="00503B44">
        <w:rPr>
          <w:rFonts w:ascii="Verdana" w:hAnsi="Verdana"/>
          <w:b/>
          <w:sz w:val="22"/>
          <w:szCs w:val="22"/>
        </w:rPr>
        <w:t>tatistic of Agreeableness</w:t>
      </w:r>
    </w:p>
    <w:p w14:paraId="19D9B4BD" w14:textId="77777777" w:rsidR="00A708A9" w:rsidRDefault="00A708A9" w:rsidP="00A708A9">
      <w:pPr>
        <w:ind w:left="0" w:firstLine="720"/>
        <w:rPr>
          <w:rFonts w:ascii="Verdana" w:hAnsi="Verdana"/>
          <w:sz w:val="20"/>
          <w:szCs w:val="20"/>
        </w:rPr>
      </w:pPr>
    </w:p>
    <w:p w14:paraId="3110D57E" w14:textId="6E174061" w:rsidR="007E1F8A" w:rsidRPr="00195E39" w:rsidRDefault="007E1F8A" w:rsidP="00A708A9">
      <w:pPr>
        <w:ind w:left="0" w:firstLine="720"/>
        <w:rPr>
          <w:rFonts w:ascii="Verdana" w:hAnsi="Verdana"/>
          <w:sz w:val="20"/>
          <w:szCs w:val="20"/>
        </w:rPr>
      </w:pPr>
      <w:r w:rsidRPr="00195E39">
        <w:rPr>
          <w:rFonts w:ascii="Verdana" w:hAnsi="Verdana"/>
          <w:sz w:val="20"/>
          <w:szCs w:val="20"/>
        </w:rPr>
        <w:t xml:space="preserve">Table 5. presents the descriptive analysis of the agreeableness trait of personality among investors in Lower Dir. On average, 4.9% strongly disagree and 8.8% disagree with agreeableness, while 23.9% remain neutral. A noteworthy 41.5% agree, and 20.8% strongly agree with this dimension. </w:t>
      </w:r>
    </w:p>
    <w:p w14:paraId="629B47C8" w14:textId="77777777" w:rsidR="00A708A9" w:rsidRDefault="00A708A9" w:rsidP="007E1F8A">
      <w:pPr>
        <w:rPr>
          <w:rFonts w:ascii="Verdana" w:hAnsi="Verdana"/>
          <w:b/>
          <w:bCs/>
          <w:sz w:val="20"/>
          <w:szCs w:val="20"/>
        </w:rPr>
      </w:pPr>
    </w:p>
    <w:p w14:paraId="6DDB1A83" w14:textId="4FF77048" w:rsidR="007E1F8A" w:rsidRPr="00195E39" w:rsidRDefault="007E1F8A" w:rsidP="007E1F8A">
      <w:pPr>
        <w:rPr>
          <w:rFonts w:ascii="Verdana" w:hAnsi="Verdana"/>
          <w:b/>
          <w:bCs/>
          <w:sz w:val="20"/>
          <w:szCs w:val="20"/>
        </w:rPr>
      </w:pPr>
      <w:r w:rsidRPr="00195E39">
        <w:rPr>
          <w:rFonts w:ascii="Verdana" w:hAnsi="Verdana"/>
          <w:b/>
          <w:bCs/>
          <w:sz w:val="20"/>
          <w:szCs w:val="20"/>
        </w:rPr>
        <w:t>Table 5</w:t>
      </w:r>
    </w:p>
    <w:p w14:paraId="09950855" w14:textId="326B06AE" w:rsidR="007E1F8A" w:rsidRPr="00A708A9" w:rsidRDefault="007E1F8A" w:rsidP="007E1F8A">
      <w:pPr>
        <w:rPr>
          <w:rFonts w:ascii="Verdana" w:hAnsi="Verdana"/>
          <w:b/>
          <w:bCs/>
          <w:i/>
          <w:iCs/>
          <w:sz w:val="20"/>
          <w:szCs w:val="20"/>
        </w:rPr>
      </w:pPr>
      <w:r w:rsidRPr="00A708A9">
        <w:rPr>
          <w:rFonts w:ascii="Verdana" w:hAnsi="Verdana"/>
          <w:b/>
          <w:bCs/>
          <w:i/>
          <w:iCs/>
          <w:sz w:val="20"/>
          <w:szCs w:val="20"/>
        </w:rPr>
        <w:t xml:space="preserve">Descriptive </w:t>
      </w:r>
      <w:r w:rsidR="00A708A9">
        <w:rPr>
          <w:rFonts w:ascii="Verdana" w:hAnsi="Verdana"/>
          <w:b/>
          <w:bCs/>
          <w:i/>
          <w:iCs/>
          <w:sz w:val="20"/>
          <w:szCs w:val="20"/>
        </w:rPr>
        <w:t>S</w:t>
      </w:r>
      <w:r w:rsidRPr="00A708A9">
        <w:rPr>
          <w:rFonts w:ascii="Verdana" w:hAnsi="Verdana"/>
          <w:b/>
          <w:bCs/>
          <w:i/>
          <w:iCs/>
          <w:sz w:val="20"/>
          <w:szCs w:val="20"/>
        </w:rPr>
        <w:t>tatistic of Agreeableness.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244"/>
        <w:gridCol w:w="1691"/>
        <w:gridCol w:w="1801"/>
      </w:tblGrid>
      <w:tr w:rsidR="007E1F8A" w:rsidRPr="00A708A9" w14:paraId="7E060DFD" w14:textId="77777777" w:rsidTr="00A708A9">
        <w:trPr>
          <w:cantSplit/>
          <w:trHeight w:val="20"/>
        </w:trPr>
        <w:tc>
          <w:tcPr>
            <w:tcW w:w="2096" w:type="pct"/>
            <w:tcBorders>
              <w:top w:val="single" w:sz="4" w:space="0" w:color="auto"/>
              <w:bottom w:val="single" w:sz="4" w:space="0" w:color="auto"/>
            </w:tcBorders>
            <w:vAlign w:val="center"/>
          </w:tcPr>
          <w:p w14:paraId="356D585B" w14:textId="77777777" w:rsidR="007E1F8A" w:rsidRPr="008710DE" w:rsidRDefault="007E1F8A" w:rsidP="005534E0">
            <w:pPr>
              <w:ind w:left="270"/>
              <w:rPr>
                <w:rFonts w:ascii="Verdana" w:eastAsia="Calibri" w:hAnsi="Verdana"/>
                <w:b/>
                <w:bCs/>
                <w:sz w:val="18"/>
                <w:szCs w:val="18"/>
              </w:rPr>
            </w:pPr>
            <w:r w:rsidRPr="008710DE">
              <w:rPr>
                <w:rFonts w:ascii="Verdana" w:eastAsia="Calibri" w:hAnsi="Verdana"/>
                <w:b/>
                <w:bCs/>
                <w:sz w:val="18"/>
                <w:szCs w:val="18"/>
              </w:rPr>
              <w:t>Responses</w:t>
            </w:r>
          </w:p>
        </w:tc>
        <w:tc>
          <w:tcPr>
            <w:tcW w:w="1136" w:type="pct"/>
            <w:tcBorders>
              <w:top w:val="single" w:sz="4" w:space="0" w:color="auto"/>
              <w:bottom w:val="single" w:sz="4" w:space="0" w:color="auto"/>
            </w:tcBorders>
            <w:vAlign w:val="center"/>
          </w:tcPr>
          <w:p w14:paraId="3EE36CBB" w14:textId="77777777" w:rsidR="007E1F8A" w:rsidRPr="008710DE" w:rsidRDefault="007E1F8A" w:rsidP="008710DE">
            <w:pPr>
              <w:ind w:left="0" w:firstLine="0"/>
              <w:rPr>
                <w:rFonts w:ascii="Verdana" w:eastAsia="Calibri" w:hAnsi="Verdana"/>
                <w:b/>
                <w:bCs/>
                <w:sz w:val="18"/>
                <w:szCs w:val="18"/>
              </w:rPr>
            </w:pPr>
            <w:r w:rsidRPr="008710DE">
              <w:rPr>
                <w:rFonts w:ascii="Verdana" w:eastAsia="Calibri" w:hAnsi="Verdana"/>
                <w:b/>
                <w:bCs/>
                <w:sz w:val="18"/>
                <w:szCs w:val="18"/>
              </w:rPr>
              <w:t>Frequency</w:t>
            </w:r>
          </w:p>
        </w:tc>
        <w:tc>
          <w:tcPr>
            <w:tcW w:w="856" w:type="pct"/>
            <w:tcBorders>
              <w:top w:val="single" w:sz="4" w:space="0" w:color="auto"/>
              <w:bottom w:val="single" w:sz="4" w:space="0" w:color="auto"/>
            </w:tcBorders>
            <w:vAlign w:val="center"/>
          </w:tcPr>
          <w:p w14:paraId="35CF1B53" w14:textId="77777777" w:rsidR="007E1F8A" w:rsidRPr="008710DE" w:rsidRDefault="007E1F8A" w:rsidP="008710DE">
            <w:pPr>
              <w:ind w:left="0" w:firstLine="0"/>
              <w:rPr>
                <w:rFonts w:ascii="Verdana" w:eastAsia="Calibri" w:hAnsi="Verdana"/>
                <w:b/>
                <w:bCs/>
                <w:sz w:val="18"/>
                <w:szCs w:val="18"/>
              </w:rPr>
            </w:pPr>
            <w:r w:rsidRPr="008710DE">
              <w:rPr>
                <w:rFonts w:ascii="Verdana" w:eastAsia="Calibri" w:hAnsi="Verdana"/>
                <w:b/>
                <w:bCs/>
                <w:sz w:val="18"/>
                <w:szCs w:val="18"/>
              </w:rPr>
              <w:t>Percent</w:t>
            </w:r>
          </w:p>
        </w:tc>
        <w:tc>
          <w:tcPr>
            <w:tcW w:w="912" w:type="pct"/>
            <w:tcBorders>
              <w:top w:val="single" w:sz="4" w:space="0" w:color="auto"/>
              <w:bottom w:val="single" w:sz="4" w:space="0" w:color="auto"/>
            </w:tcBorders>
            <w:vAlign w:val="center"/>
          </w:tcPr>
          <w:p w14:paraId="65580D60" w14:textId="2B4CF70A" w:rsidR="007E1F8A" w:rsidRPr="008710DE" w:rsidRDefault="008710DE" w:rsidP="008710DE">
            <w:pPr>
              <w:ind w:left="0" w:firstLine="0"/>
              <w:rPr>
                <w:rFonts w:ascii="Verdana" w:eastAsia="Calibri" w:hAnsi="Verdana"/>
                <w:b/>
                <w:bCs/>
                <w:sz w:val="18"/>
                <w:szCs w:val="18"/>
              </w:rPr>
            </w:pPr>
            <w:r>
              <w:rPr>
                <w:rFonts w:ascii="Verdana" w:eastAsia="Calibri" w:hAnsi="Verdana"/>
                <w:b/>
                <w:bCs/>
                <w:sz w:val="18"/>
                <w:szCs w:val="18"/>
              </w:rPr>
              <w:t>C</w:t>
            </w:r>
            <w:r w:rsidR="007E1F8A" w:rsidRPr="008710DE">
              <w:rPr>
                <w:rFonts w:ascii="Verdana" w:eastAsia="Calibri" w:hAnsi="Verdana"/>
                <w:b/>
                <w:bCs/>
                <w:sz w:val="18"/>
                <w:szCs w:val="18"/>
              </w:rPr>
              <w:t>umulative</w:t>
            </w:r>
          </w:p>
        </w:tc>
      </w:tr>
      <w:tr w:rsidR="007E1F8A" w:rsidRPr="00A708A9" w14:paraId="0ABA2185" w14:textId="77777777" w:rsidTr="00A708A9">
        <w:trPr>
          <w:cantSplit/>
          <w:trHeight w:val="20"/>
        </w:trPr>
        <w:tc>
          <w:tcPr>
            <w:tcW w:w="2096" w:type="pct"/>
            <w:tcBorders>
              <w:top w:val="single" w:sz="4" w:space="0" w:color="auto"/>
            </w:tcBorders>
            <w:vAlign w:val="center"/>
          </w:tcPr>
          <w:p w14:paraId="49539540" w14:textId="77777777" w:rsidR="007E1F8A" w:rsidRPr="00A708A9" w:rsidRDefault="007E1F8A" w:rsidP="005534E0">
            <w:pPr>
              <w:ind w:left="270"/>
              <w:rPr>
                <w:rFonts w:ascii="Verdana" w:eastAsia="Calibri" w:hAnsi="Verdana"/>
                <w:sz w:val="18"/>
                <w:szCs w:val="18"/>
              </w:rPr>
            </w:pPr>
            <w:r w:rsidRPr="00A708A9">
              <w:rPr>
                <w:rFonts w:ascii="Verdana" w:eastAsia="Calibri" w:hAnsi="Verdana"/>
                <w:sz w:val="18"/>
                <w:szCs w:val="18"/>
              </w:rPr>
              <w:t>Strongly Disagree</w:t>
            </w:r>
          </w:p>
        </w:tc>
        <w:tc>
          <w:tcPr>
            <w:tcW w:w="1136" w:type="pct"/>
            <w:tcBorders>
              <w:top w:val="single" w:sz="4" w:space="0" w:color="auto"/>
            </w:tcBorders>
            <w:vAlign w:val="center"/>
          </w:tcPr>
          <w:p w14:paraId="26919949" w14:textId="77777777" w:rsidR="007E1F8A" w:rsidRPr="00A708A9" w:rsidRDefault="007E1F8A" w:rsidP="005534E0">
            <w:pPr>
              <w:ind w:left="630"/>
              <w:rPr>
                <w:rFonts w:ascii="Verdana" w:eastAsia="Calibri" w:hAnsi="Verdana"/>
                <w:sz w:val="18"/>
                <w:szCs w:val="18"/>
              </w:rPr>
            </w:pPr>
            <w:r w:rsidRPr="00A708A9">
              <w:rPr>
                <w:rFonts w:ascii="Verdana" w:eastAsia="Calibri" w:hAnsi="Verdana"/>
                <w:sz w:val="18"/>
                <w:szCs w:val="18"/>
              </w:rPr>
              <w:t>14</w:t>
            </w:r>
          </w:p>
        </w:tc>
        <w:tc>
          <w:tcPr>
            <w:tcW w:w="856" w:type="pct"/>
            <w:tcBorders>
              <w:top w:val="single" w:sz="4" w:space="0" w:color="auto"/>
            </w:tcBorders>
            <w:vAlign w:val="center"/>
          </w:tcPr>
          <w:p w14:paraId="3AB2419D" w14:textId="77777777" w:rsidR="007E1F8A" w:rsidRPr="00A708A9" w:rsidRDefault="007E1F8A" w:rsidP="005534E0">
            <w:pPr>
              <w:ind w:left="288" w:firstLine="180"/>
              <w:rPr>
                <w:rFonts w:ascii="Verdana" w:eastAsia="Calibri" w:hAnsi="Verdana"/>
                <w:sz w:val="18"/>
                <w:szCs w:val="18"/>
              </w:rPr>
            </w:pPr>
            <w:r w:rsidRPr="00A708A9">
              <w:rPr>
                <w:rFonts w:ascii="Verdana" w:eastAsia="Calibri" w:hAnsi="Verdana"/>
                <w:sz w:val="18"/>
                <w:szCs w:val="18"/>
              </w:rPr>
              <w:t>4.9</w:t>
            </w:r>
          </w:p>
        </w:tc>
        <w:tc>
          <w:tcPr>
            <w:tcW w:w="912" w:type="pct"/>
            <w:tcBorders>
              <w:top w:val="single" w:sz="4" w:space="0" w:color="auto"/>
            </w:tcBorders>
            <w:vAlign w:val="center"/>
          </w:tcPr>
          <w:p w14:paraId="638BF16F" w14:textId="77777777" w:rsidR="007E1F8A" w:rsidRPr="00A708A9" w:rsidRDefault="007E1F8A" w:rsidP="005534E0">
            <w:pPr>
              <w:ind w:left="360"/>
              <w:rPr>
                <w:rFonts w:ascii="Verdana" w:eastAsia="Calibri" w:hAnsi="Verdana"/>
                <w:sz w:val="18"/>
                <w:szCs w:val="18"/>
              </w:rPr>
            </w:pPr>
            <w:r w:rsidRPr="00A708A9">
              <w:rPr>
                <w:rFonts w:ascii="Verdana" w:eastAsia="Calibri" w:hAnsi="Verdana"/>
                <w:sz w:val="18"/>
                <w:szCs w:val="18"/>
              </w:rPr>
              <w:t>4.9</w:t>
            </w:r>
          </w:p>
        </w:tc>
      </w:tr>
      <w:tr w:rsidR="007E1F8A" w:rsidRPr="00A708A9" w14:paraId="38B0397B" w14:textId="77777777" w:rsidTr="00A708A9">
        <w:trPr>
          <w:cantSplit/>
          <w:trHeight w:val="20"/>
        </w:trPr>
        <w:tc>
          <w:tcPr>
            <w:tcW w:w="2096" w:type="pct"/>
            <w:vAlign w:val="center"/>
          </w:tcPr>
          <w:p w14:paraId="21A497E7" w14:textId="77777777" w:rsidR="007E1F8A" w:rsidRPr="00A708A9" w:rsidRDefault="007E1F8A" w:rsidP="005534E0">
            <w:pPr>
              <w:ind w:left="270"/>
              <w:rPr>
                <w:rFonts w:ascii="Verdana" w:eastAsia="Calibri" w:hAnsi="Verdana"/>
                <w:sz w:val="18"/>
                <w:szCs w:val="18"/>
              </w:rPr>
            </w:pPr>
            <w:r w:rsidRPr="00A708A9">
              <w:rPr>
                <w:rFonts w:ascii="Verdana" w:eastAsia="Calibri" w:hAnsi="Verdana"/>
                <w:sz w:val="18"/>
                <w:szCs w:val="18"/>
              </w:rPr>
              <w:t>Disagree</w:t>
            </w:r>
          </w:p>
        </w:tc>
        <w:tc>
          <w:tcPr>
            <w:tcW w:w="1136" w:type="pct"/>
            <w:vAlign w:val="center"/>
          </w:tcPr>
          <w:p w14:paraId="42642F51" w14:textId="77777777" w:rsidR="007E1F8A" w:rsidRPr="00A708A9" w:rsidRDefault="007E1F8A" w:rsidP="005534E0">
            <w:pPr>
              <w:ind w:left="630"/>
              <w:rPr>
                <w:rFonts w:ascii="Verdana" w:eastAsia="Calibri" w:hAnsi="Verdana"/>
                <w:sz w:val="18"/>
                <w:szCs w:val="18"/>
              </w:rPr>
            </w:pPr>
            <w:r w:rsidRPr="00A708A9">
              <w:rPr>
                <w:rFonts w:ascii="Verdana" w:eastAsia="Calibri" w:hAnsi="Verdana"/>
                <w:sz w:val="18"/>
                <w:szCs w:val="18"/>
              </w:rPr>
              <w:t>25</w:t>
            </w:r>
          </w:p>
        </w:tc>
        <w:tc>
          <w:tcPr>
            <w:tcW w:w="856" w:type="pct"/>
            <w:vAlign w:val="center"/>
          </w:tcPr>
          <w:p w14:paraId="18780B53" w14:textId="77777777" w:rsidR="007E1F8A" w:rsidRPr="00A708A9" w:rsidRDefault="007E1F8A" w:rsidP="005534E0">
            <w:pPr>
              <w:ind w:left="288" w:firstLine="180"/>
              <w:rPr>
                <w:rFonts w:ascii="Verdana" w:eastAsia="Calibri" w:hAnsi="Verdana"/>
                <w:sz w:val="18"/>
                <w:szCs w:val="18"/>
              </w:rPr>
            </w:pPr>
            <w:r w:rsidRPr="00A708A9">
              <w:rPr>
                <w:rFonts w:ascii="Verdana" w:eastAsia="Calibri" w:hAnsi="Verdana"/>
                <w:sz w:val="18"/>
                <w:szCs w:val="18"/>
              </w:rPr>
              <w:t>8.8</w:t>
            </w:r>
          </w:p>
        </w:tc>
        <w:tc>
          <w:tcPr>
            <w:tcW w:w="912" w:type="pct"/>
            <w:vAlign w:val="center"/>
          </w:tcPr>
          <w:p w14:paraId="50571AE9" w14:textId="77777777" w:rsidR="007E1F8A" w:rsidRPr="00A708A9" w:rsidRDefault="007E1F8A" w:rsidP="005534E0">
            <w:pPr>
              <w:ind w:left="360"/>
              <w:rPr>
                <w:rFonts w:ascii="Verdana" w:eastAsia="Calibri" w:hAnsi="Verdana"/>
                <w:sz w:val="18"/>
                <w:szCs w:val="18"/>
              </w:rPr>
            </w:pPr>
            <w:r w:rsidRPr="00A708A9">
              <w:rPr>
                <w:rFonts w:ascii="Verdana" w:eastAsia="Calibri" w:hAnsi="Verdana"/>
                <w:sz w:val="18"/>
                <w:szCs w:val="18"/>
              </w:rPr>
              <w:t>13.7</w:t>
            </w:r>
          </w:p>
        </w:tc>
      </w:tr>
      <w:tr w:rsidR="007E1F8A" w:rsidRPr="00A708A9" w14:paraId="14C3EA10" w14:textId="77777777" w:rsidTr="00A708A9">
        <w:trPr>
          <w:cantSplit/>
          <w:trHeight w:val="20"/>
        </w:trPr>
        <w:tc>
          <w:tcPr>
            <w:tcW w:w="2096" w:type="pct"/>
            <w:vAlign w:val="center"/>
          </w:tcPr>
          <w:p w14:paraId="5B99FF8B" w14:textId="77777777" w:rsidR="007E1F8A" w:rsidRPr="00A708A9" w:rsidRDefault="007E1F8A" w:rsidP="005534E0">
            <w:pPr>
              <w:ind w:left="270"/>
              <w:rPr>
                <w:rFonts w:ascii="Verdana" w:eastAsia="Calibri" w:hAnsi="Verdana"/>
                <w:sz w:val="18"/>
                <w:szCs w:val="18"/>
              </w:rPr>
            </w:pPr>
            <w:r w:rsidRPr="00A708A9">
              <w:rPr>
                <w:rFonts w:ascii="Verdana" w:eastAsia="Calibri" w:hAnsi="Verdana"/>
                <w:sz w:val="18"/>
                <w:szCs w:val="18"/>
              </w:rPr>
              <w:t>Neutral</w:t>
            </w:r>
          </w:p>
        </w:tc>
        <w:tc>
          <w:tcPr>
            <w:tcW w:w="1136" w:type="pct"/>
            <w:vAlign w:val="center"/>
          </w:tcPr>
          <w:p w14:paraId="3DED6BDC" w14:textId="77777777" w:rsidR="007E1F8A" w:rsidRPr="00A708A9" w:rsidRDefault="007E1F8A" w:rsidP="005534E0">
            <w:pPr>
              <w:ind w:left="630"/>
              <w:rPr>
                <w:rFonts w:ascii="Verdana" w:eastAsia="Calibri" w:hAnsi="Verdana"/>
                <w:sz w:val="18"/>
                <w:szCs w:val="18"/>
              </w:rPr>
            </w:pPr>
            <w:r w:rsidRPr="00A708A9">
              <w:rPr>
                <w:rFonts w:ascii="Verdana" w:eastAsia="Calibri" w:hAnsi="Verdana"/>
                <w:sz w:val="18"/>
                <w:szCs w:val="18"/>
              </w:rPr>
              <w:t>68</w:t>
            </w:r>
          </w:p>
        </w:tc>
        <w:tc>
          <w:tcPr>
            <w:tcW w:w="856" w:type="pct"/>
            <w:vAlign w:val="center"/>
          </w:tcPr>
          <w:p w14:paraId="584FB422" w14:textId="77777777" w:rsidR="007E1F8A" w:rsidRPr="00A708A9" w:rsidRDefault="007E1F8A" w:rsidP="005534E0">
            <w:pPr>
              <w:ind w:left="288" w:firstLine="180"/>
              <w:rPr>
                <w:rFonts w:ascii="Verdana" w:eastAsia="Calibri" w:hAnsi="Verdana"/>
                <w:sz w:val="18"/>
                <w:szCs w:val="18"/>
              </w:rPr>
            </w:pPr>
            <w:r w:rsidRPr="00A708A9">
              <w:rPr>
                <w:rFonts w:ascii="Verdana" w:eastAsia="Calibri" w:hAnsi="Verdana"/>
                <w:sz w:val="18"/>
                <w:szCs w:val="18"/>
              </w:rPr>
              <w:t>23.9</w:t>
            </w:r>
          </w:p>
        </w:tc>
        <w:tc>
          <w:tcPr>
            <w:tcW w:w="912" w:type="pct"/>
            <w:vAlign w:val="center"/>
          </w:tcPr>
          <w:p w14:paraId="04BE54B2" w14:textId="77777777" w:rsidR="007E1F8A" w:rsidRPr="00A708A9" w:rsidRDefault="007E1F8A" w:rsidP="005534E0">
            <w:pPr>
              <w:ind w:left="360"/>
              <w:rPr>
                <w:rFonts w:ascii="Verdana" w:eastAsia="Calibri" w:hAnsi="Verdana"/>
                <w:sz w:val="18"/>
                <w:szCs w:val="18"/>
              </w:rPr>
            </w:pPr>
            <w:r w:rsidRPr="00A708A9">
              <w:rPr>
                <w:rFonts w:ascii="Verdana" w:eastAsia="Calibri" w:hAnsi="Verdana"/>
                <w:sz w:val="18"/>
                <w:szCs w:val="18"/>
              </w:rPr>
              <w:t>37.7</w:t>
            </w:r>
          </w:p>
        </w:tc>
      </w:tr>
      <w:tr w:rsidR="007E1F8A" w:rsidRPr="00A708A9" w14:paraId="7E473FF0" w14:textId="77777777" w:rsidTr="00A708A9">
        <w:trPr>
          <w:cantSplit/>
          <w:trHeight w:val="20"/>
        </w:trPr>
        <w:tc>
          <w:tcPr>
            <w:tcW w:w="2096" w:type="pct"/>
            <w:vAlign w:val="center"/>
          </w:tcPr>
          <w:p w14:paraId="3AF72089" w14:textId="77777777" w:rsidR="007E1F8A" w:rsidRPr="00A708A9" w:rsidRDefault="007E1F8A" w:rsidP="005534E0">
            <w:pPr>
              <w:ind w:left="270"/>
              <w:rPr>
                <w:rFonts w:ascii="Verdana" w:eastAsia="Calibri" w:hAnsi="Verdana"/>
                <w:sz w:val="18"/>
                <w:szCs w:val="18"/>
              </w:rPr>
            </w:pPr>
            <w:r w:rsidRPr="00A708A9">
              <w:rPr>
                <w:rFonts w:ascii="Verdana" w:eastAsia="Calibri" w:hAnsi="Verdana"/>
                <w:sz w:val="18"/>
                <w:szCs w:val="18"/>
              </w:rPr>
              <w:t>Agree</w:t>
            </w:r>
          </w:p>
        </w:tc>
        <w:tc>
          <w:tcPr>
            <w:tcW w:w="1136" w:type="pct"/>
            <w:vAlign w:val="center"/>
          </w:tcPr>
          <w:p w14:paraId="35A7EE81" w14:textId="77777777" w:rsidR="007E1F8A" w:rsidRPr="00A708A9" w:rsidRDefault="007E1F8A" w:rsidP="005534E0">
            <w:pPr>
              <w:ind w:left="630"/>
              <w:rPr>
                <w:rFonts w:ascii="Verdana" w:eastAsia="Calibri" w:hAnsi="Verdana"/>
                <w:sz w:val="18"/>
                <w:szCs w:val="18"/>
              </w:rPr>
            </w:pPr>
            <w:r w:rsidRPr="00A708A9">
              <w:rPr>
                <w:rFonts w:ascii="Verdana" w:eastAsia="Calibri" w:hAnsi="Verdana"/>
                <w:sz w:val="18"/>
                <w:szCs w:val="18"/>
              </w:rPr>
              <w:t>118</w:t>
            </w:r>
          </w:p>
        </w:tc>
        <w:tc>
          <w:tcPr>
            <w:tcW w:w="856" w:type="pct"/>
            <w:vAlign w:val="center"/>
          </w:tcPr>
          <w:p w14:paraId="06759053" w14:textId="77777777" w:rsidR="007E1F8A" w:rsidRPr="00A708A9" w:rsidRDefault="007E1F8A" w:rsidP="005534E0">
            <w:pPr>
              <w:ind w:left="288" w:firstLine="180"/>
              <w:rPr>
                <w:rFonts w:ascii="Verdana" w:eastAsia="Calibri" w:hAnsi="Verdana"/>
                <w:sz w:val="18"/>
                <w:szCs w:val="18"/>
              </w:rPr>
            </w:pPr>
            <w:r w:rsidRPr="00A708A9">
              <w:rPr>
                <w:rFonts w:ascii="Verdana" w:eastAsia="Calibri" w:hAnsi="Verdana"/>
                <w:sz w:val="18"/>
                <w:szCs w:val="18"/>
              </w:rPr>
              <w:t>41.5</w:t>
            </w:r>
          </w:p>
        </w:tc>
        <w:tc>
          <w:tcPr>
            <w:tcW w:w="912" w:type="pct"/>
            <w:vAlign w:val="center"/>
          </w:tcPr>
          <w:p w14:paraId="672E823D" w14:textId="77777777" w:rsidR="007E1F8A" w:rsidRPr="00A708A9" w:rsidRDefault="007E1F8A" w:rsidP="005534E0">
            <w:pPr>
              <w:ind w:left="360"/>
              <w:rPr>
                <w:rFonts w:ascii="Verdana" w:eastAsia="Calibri" w:hAnsi="Verdana"/>
                <w:sz w:val="18"/>
                <w:szCs w:val="18"/>
              </w:rPr>
            </w:pPr>
            <w:r w:rsidRPr="00A708A9">
              <w:rPr>
                <w:rFonts w:ascii="Verdana" w:eastAsia="Calibri" w:hAnsi="Verdana"/>
                <w:sz w:val="18"/>
                <w:szCs w:val="18"/>
              </w:rPr>
              <w:t>79.2</w:t>
            </w:r>
          </w:p>
        </w:tc>
      </w:tr>
      <w:tr w:rsidR="007E1F8A" w:rsidRPr="00A708A9" w14:paraId="1CC28CB4" w14:textId="77777777" w:rsidTr="00A708A9">
        <w:trPr>
          <w:cantSplit/>
          <w:trHeight w:val="20"/>
        </w:trPr>
        <w:tc>
          <w:tcPr>
            <w:tcW w:w="2096" w:type="pct"/>
            <w:vAlign w:val="center"/>
          </w:tcPr>
          <w:p w14:paraId="0E6CDBF7" w14:textId="77777777" w:rsidR="007E1F8A" w:rsidRPr="00A708A9" w:rsidRDefault="007E1F8A" w:rsidP="005534E0">
            <w:pPr>
              <w:ind w:left="270"/>
              <w:rPr>
                <w:rFonts w:ascii="Verdana" w:eastAsia="Calibri" w:hAnsi="Verdana"/>
                <w:sz w:val="18"/>
                <w:szCs w:val="18"/>
              </w:rPr>
            </w:pPr>
            <w:r w:rsidRPr="00A708A9">
              <w:rPr>
                <w:rFonts w:ascii="Verdana" w:eastAsia="Calibri" w:hAnsi="Verdana"/>
                <w:sz w:val="18"/>
                <w:szCs w:val="18"/>
              </w:rPr>
              <w:t>Strongly Agree</w:t>
            </w:r>
          </w:p>
        </w:tc>
        <w:tc>
          <w:tcPr>
            <w:tcW w:w="1136" w:type="pct"/>
            <w:vAlign w:val="center"/>
          </w:tcPr>
          <w:p w14:paraId="013F5D4A" w14:textId="77777777" w:rsidR="007E1F8A" w:rsidRPr="00A708A9" w:rsidRDefault="007E1F8A" w:rsidP="005534E0">
            <w:pPr>
              <w:ind w:left="630"/>
              <w:rPr>
                <w:rFonts w:ascii="Verdana" w:eastAsia="Calibri" w:hAnsi="Verdana"/>
                <w:sz w:val="18"/>
                <w:szCs w:val="18"/>
              </w:rPr>
            </w:pPr>
            <w:r w:rsidRPr="00A708A9">
              <w:rPr>
                <w:rFonts w:ascii="Verdana" w:eastAsia="Calibri" w:hAnsi="Verdana"/>
                <w:sz w:val="18"/>
                <w:szCs w:val="18"/>
              </w:rPr>
              <w:t>59</w:t>
            </w:r>
          </w:p>
        </w:tc>
        <w:tc>
          <w:tcPr>
            <w:tcW w:w="856" w:type="pct"/>
            <w:vAlign w:val="center"/>
          </w:tcPr>
          <w:p w14:paraId="76EA8917" w14:textId="77777777" w:rsidR="007E1F8A" w:rsidRPr="00A708A9" w:rsidRDefault="007E1F8A" w:rsidP="005534E0">
            <w:pPr>
              <w:ind w:left="288" w:firstLine="180"/>
              <w:rPr>
                <w:rFonts w:ascii="Verdana" w:eastAsia="Calibri" w:hAnsi="Verdana"/>
                <w:sz w:val="18"/>
                <w:szCs w:val="18"/>
              </w:rPr>
            </w:pPr>
            <w:r w:rsidRPr="00A708A9">
              <w:rPr>
                <w:rFonts w:ascii="Verdana" w:eastAsia="Calibri" w:hAnsi="Verdana"/>
                <w:sz w:val="18"/>
                <w:szCs w:val="18"/>
              </w:rPr>
              <w:t>20.8</w:t>
            </w:r>
          </w:p>
        </w:tc>
        <w:tc>
          <w:tcPr>
            <w:tcW w:w="912" w:type="pct"/>
            <w:vAlign w:val="center"/>
          </w:tcPr>
          <w:p w14:paraId="1E9A33D1" w14:textId="77777777" w:rsidR="007E1F8A" w:rsidRPr="00A708A9" w:rsidRDefault="007E1F8A" w:rsidP="005534E0">
            <w:pPr>
              <w:ind w:left="360"/>
              <w:rPr>
                <w:rFonts w:ascii="Verdana" w:eastAsia="Calibri" w:hAnsi="Verdana"/>
                <w:sz w:val="18"/>
                <w:szCs w:val="18"/>
              </w:rPr>
            </w:pPr>
            <w:r w:rsidRPr="00A708A9">
              <w:rPr>
                <w:rFonts w:ascii="Verdana" w:eastAsia="Calibri" w:hAnsi="Verdana"/>
                <w:sz w:val="18"/>
                <w:szCs w:val="18"/>
              </w:rPr>
              <w:t>100</w:t>
            </w:r>
          </w:p>
        </w:tc>
      </w:tr>
      <w:tr w:rsidR="007E1F8A" w:rsidRPr="00A708A9" w14:paraId="017509E1" w14:textId="77777777" w:rsidTr="00A708A9">
        <w:trPr>
          <w:cantSplit/>
          <w:trHeight w:val="20"/>
        </w:trPr>
        <w:tc>
          <w:tcPr>
            <w:tcW w:w="2096" w:type="pct"/>
            <w:vAlign w:val="center"/>
          </w:tcPr>
          <w:p w14:paraId="6E9C9C92" w14:textId="77777777" w:rsidR="007E1F8A" w:rsidRPr="00A708A9" w:rsidRDefault="007E1F8A" w:rsidP="005534E0">
            <w:pPr>
              <w:ind w:left="270"/>
              <w:rPr>
                <w:rFonts w:ascii="Verdana" w:eastAsia="Calibri" w:hAnsi="Verdana"/>
                <w:sz w:val="18"/>
                <w:szCs w:val="18"/>
              </w:rPr>
            </w:pPr>
            <w:r w:rsidRPr="00A708A9">
              <w:rPr>
                <w:rFonts w:ascii="Verdana" w:eastAsia="Calibri" w:hAnsi="Verdana"/>
                <w:sz w:val="18"/>
                <w:szCs w:val="18"/>
              </w:rPr>
              <w:t>Total</w:t>
            </w:r>
          </w:p>
        </w:tc>
        <w:tc>
          <w:tcPr>
            <w:tcW w:w="1136" w:type="pct"/>
            <w:vAlign w:val="center"/>
          </w:tcPr>
          <w:p w14:paraId="092F7C50" w14:textId="77777777" w:rsidR="007E1F8A" w:rsidRPr="00A708A9" w:rsidRDefault="007E1F8A" w:rsidP="005534E0">
            <w:pPr>
              <w:ind w:left="630"/>
              <w:rPr>
                <w:rFonts w:ascii="Verdana" w:eastAsia="Calibri" w:hAnsi="Verdana"/>
                <w:sz w:val="18"/>
                <w:szCs w:val="18"/>
              </w:rPr>
            </w:pPr>
            <w:r w:rsidRPr="00A708A9">
              <w:rPr>
                <w:rFonts w:ascii="Verdana" w:eastAsia="Calibri" w:hAnsi="Verdana"/>
                <w:sz w:val="18"/>
                <w:szCs w:val="18"/>
              </w:rPr>
              <w:t>284</w:t>
            </w:r>
          </w:p>
        </w:tc>
        <w:tc>
          <w:tcPr>
            <w:tcW w:w="856" w:type="pct"/>
            <w:vAlign w:val="center"/>
          </w:tcPr>
          <w:p w14:paraId="7DC0B27F" w14:textId="77777777" w:rsidR="007E1F8A" w:rsidRPr="00A708A9" w:rsidRDefault="007E1F8A" w:rsidP="005534E0">
            <w:pPr>
              <w:ind w:left="288" w:firstLine="180"/>
              <w:rPr>
                <w:rFonts w:ascii="Verdana" w:eastAsia="Calibri" w:hAnsi="Verdana"/>
                <w:sz w:val="18"/>
                <w:szCs w:val="18"/>
              </w:rPr>
            </w:pPr>
            <w:r w:rsidRPr="00A708A9">
              <w:rPr>
                <w:rFonts w:ascii="Verdana" w:eastAsia="Calibri" w:hAnsi="Verdana"/>
                <w:sz w:val="18"/>
                <w:szCs w:val="18"/>
              </w:rPr>
              <w:t>100</w:t>
            </w:r>
          </w:p>
        </w:tc>
        <w:tc>
          <w:tcPr>
            <w:tcW w:w="912" w:type="pct"/>
            <w:vAlign w:val="center"/>
          </w:tcPr>
          <w:p w14:paraId="648C9D22" w14:textId="77777777" w:rsidR="007E1F8A" w:rsidRPr="00A708A9" w:rsidRDefault="007E1F8A" w:rsidP="005534E0">
            <w:pPr>
              <w:jc w:val="center"/>
              <w:rPr>
                <w:rFonts w:ascii="Verdana" w:eastAsia="Calibri" w:hAnsi="Verdana"/>
                <w:sz w:val="18"/>
                <w:szCs w:val="18"/>
              </w:rPr>
            </w:pPr>
          </w:p>
        </w:tc>
      </w:tr>
    </w:tbl>
    <w:p w14:paraId="126F67DB" w14:textId="77777777" w:rsidR="00CF0CB3" w:rsidRDefault="00CF0CB3" w:rsidP="00CF0CB3">
      <w:pPr>
        <w:ind w:left="0" w:firstLine="720"/>
        <w:rPr>
          <w:rFonts w:ascii="Verdana" w:hAnsi="Verdana"/>
          <w:sz w:val="20"/>
          <w:szCs w:val="20"/>
        </w:rPr>
      </w:pPr>
    </w:p>
    <w:p w14:paraId="0208BF21" w14:textId="58887BAE" w:rsidR="007E1F8A" w:rsidRDefault="00CF0CB3" w:rsidP="00CF0CB3">
      <w:pPr>
        <w:ind w:left="0" w:firstLine="720"/>
        <w:rPr>
          <w:rFonts w:ascii="Verdana" w:hAnsi="Verdana"/>
          <w:sz w:val="20"/>
          <w:szCs w:val="20"/>
        </w:rPr>
      </w:pPr>
      <w:r w:rsidRPr="00195E39">
        <w:rPr>
          <w:rFonts w:ascii="Verdana" w:hAnsi="Verdana"/>
          <w:sz w:val="20"/>
          <w:szCs w:val="20"/>
        </w:rPr>
        <w:t xml:space="preserve">The data indicates that slightly more than half of the investors in Lower Dir express agreement with or strong agreement to the agreeableness trait. This suggests that a significant </w:t>
      </w:r>
      <w:r w:rsidRPr="00195E39">
        <w:rPr>
          <w:rFonts w:ascii="Verdana" w:hAnsi="Verdana"/>
          <w:sz w:val="20"/>
          <w:szCs w:val="20"/>
        </w:rPr>
        <w:lastRenderedPageBreak/>
        <w:t>portion of individuals in the region are characterized by agreeableness, demonstrating a willingness to listen to others and consider alternative opinions in their decision-making processes. The prevalence of this personality trait may play a role in shaping the collaborative and cooperative aspects of their financial decision-making, influencing their overall financial risk tolerance and investment strategies</w:t>
      </w:r>
      <w:r w:rsidR="00AB0A13">
        <w:rPr>
          <w:rFonts w:ascii="Verdana" w:hAnsi="Verdana"/>
          <w:sz w:val="20"/>
          <w:szCs w:val="20"/>
        </w:rPr>
        <w:t>.</w:t>
      </w:r>
    </w:p>
    <w:p w14:paraId="4B32E691" w14:textId="77777777" w:rsidR="00AB0A13" w:rsidRDefault="00AB0A13" w:rsidP="00CF0CB3">
      <w:pPr>
        <w:ind w:left="0" w:firstLine="720"/>
        <w:rPr>
          <w:rFonts w:ascii="Verdana" w:hAnsi="Verdana"/>
          <w:sz w:val="20"/>
          <w:szCs w:val="20"/>
        </w:rPr>
      </w:pPr>
    </w:p>
    <w:p w14:paraId="249905EB" w14:textId="3A2FB975" w:rsidR="007E1F8A" w:rsidRPr="00503B44" w:rsidRDefault="007E1F8A" w:rsidP="008710DE">
      <w:pPr>
        <w:pStyle w:val="ListParagraph"/>
        <w:numPr>
          <w:ilvl w:val="2"/>
          <w:numId w:val="39"/>
        </w:numPr>
        <w:ind w:left="709"/>
        <w:rPr>
          <w:rFonts w:ascii="Verdana" w:hAnsi="Verdana"/>
          <w:b/>
          <w:sz w:val="22"/>
          <w:szCs w:val="22"/>
        </w:rPr>
      </w:pPr>
      <w:r w:rsidRPr="00503B44">
        <w:rPr>
          <w:rFonts w:ascii="Verdana" w:hAnsi="Verdana"/>
          <w:b/>
          <w:sz w:val="22"/>
          <w:szCs w:val="22"/>
        </w:rPr>
        <w:t xml:space="preserve">Descriptive </w:t>
      </w:r>
      <w:r w:rsidR="00503B44">
        <w:rPr>
          <w:rFonts w:ascii="Verdana" w:hAnsi="Verdana"/>
          <w:b/>
          <w:sz w:val="22"/>
          <w:szCs w:val="22"/>
        </w:rPr>
        <w:t>S</w:t>
      </w:r>
      <w:r w:rsidRPr="00503B44">
        <w:rPr>
          <w:rFonts w:ascii="Verdana" w:hAnsi="Verdana"/>
          <w:b/>
          <w:sz w:val="22"/>
          <w:szCs w:val="22"/>
        </w:rPr>
        <w:t xml:space="preserve">tatistic of </w:t>
      </w:r>
      <w:r w:rsidR="00503B44">
        <w:rPr>
          <w:rFonts w:ascii="Verdana" w:hAnsi="Verdana"/>
          <w:b/>
          <w:sz w:val="22"/>
          <w:szCs w:val="22"/>
        </w:rPr>
        <w:t>C</w:t>
      </w:r>
      <w:r w:rsidRPr="00503B44">
        <w:rPr>
          <w:rFonts w:ascii="Verdana" w:hAnsi="Verdana"/>
          <w:b/>
          <w:sz w:val="22"/>
          <w:szCs w:val="22"/>
        </w:rPr>
        <w:t>onscientiousness</w:t>
      </w:r>
    </w:p>
    <w:p w14:paraId="63FF5928" w14:textId="77777777" w:rsidR="008710DE" w:rsidRDefault="008710DE" w:rsidP="008710DE">
      <w:pPr>
        <w:ind w:left="0" w:firstLine="709"/>
        <w:rPr>
          <w:rFonts w:ascii="Verdana" w:hAnsi="Verdana"/>
          <w:sz w:val="20"/>
          <w:szCs w:val="20"/>
        </w:rPr>
      </w:pPr>
    </w:p>
    <w:p w14:paraId="1D84DECD" w14:textId="143F85DE" w:rsidR="007E1F8A" w:rsidRPr="00195E39" w:rsidRDefault="007E1F8A" w:rsidP="008710DE">
      <w:pPr>
        <w:ind w:left="0" w:firstLine="709"/>
        <w:rPr>
          <w:rFonts w:ascii="Verdana" w:hAnsi="Verdana"/>
          <w:sz w:val="20"/>
          <w:szCs w:val="20"/>
        </w:rPr>
      </w:pPr>
      <w:r w:rsidRPr="00195E39">
        <w:rPr>
          <w:rFonts w:ascii="Verdana" w:hAnsi="Verdana"/>
          <w:sz w:val="20"/>
          <w:szCs w:val="20"/>
        </w:rPr>
        <w:t>Table 6 provides a descriptive analysis of the conscientiousness trait among investors in Lower Dir. The data shows that 4.2% strongly disagree, 7.7% disagree, and 22.2% remain neutral on conscientiousness. On the positive side, 41.9% agree, and 23.9% strongly agree with this personality trait. These results suggest that a substantial majority of investors in Lower Dir exhibit conscientiousness, emphasizing a calculated and strategic approach to decision-making. This trait indicates a tendency for self-control, careful planning, and organized resource management in their investment strategies. The prevalence of conscientiousness among these investors may significantly shape their financial risk tolerance and contribute to a methodical and disciplined approach to managing their investments in the region.</w:t>
      </w:r>
    </w:p>
    <w:p w14:paraId="2FFE1B9A" w14:textId="77777777" w:rsidR="008710DE" w:rsidRDefault="008710DE" w:rsidP="008710DE">
      <w:pPr>
        <w:ind w:left="0" w:firstLine="0"/>
        <w:rPr>
          <w:rFonts w:ascii="Verdana" w:hAnsi="Verdana"/>
          <w:b/>
          <w:bCs/>
          <w:sz w:val="20"/>
          <w:szCs w:val="20"/>
        </w:rPr>
      </w:pPr>
    </w:p>
    <w:p w14:paraId="0D64222C" w14:textId="560C469F" w:rsidR="007E1F8A" w:rsidRPr="00195E39" w:rsidRDefault="007E1F8A" w:rsidP="008710DE">
      <w:pPr>
        <w:ind w:left="0" w:firstLine="0"/>
        <w:rPr>
          <w:rFonts w:ascii="Verdana" w:hAnsi="Verdana"/>
          <w:sz w:val="20"/>
          <w:szCs w:val="20"/>
        </w:rPr>
      </w:pPr>
      <w:r w:rsidRPr="00195E39">
        <w:rPr>
          <w:rFonts w:ascii="Verdana" w:hAnsi="Verdana"/>
          <w:b/>
          <w:bCs/>
          <w:sz w:val="20"/>
          <w:szCs w:val="20"/>
        </w:rPr>
        <w:t>Table 6.</w:t>
      </w:r>
      <w:r w:rsidRPr="00195E39">
        <w:rPr>
          <w:rFonts w:ascii="Verdana" w:hAnsi="Verdana"/>
          <w:sz w:val="20"/>
          <w:szCs w:val="20"/>
        </w:rPr>
        <w:t xml:space="preserve"> </w:t>
      </w:r>
    </w:p>
    <w:p w14:paraId="557FBCF3" w14:textId="448C9A93" w:rsidR="007E1F8A" w:rsidRPr="008710DE" w:rsidRDefault="007E1F8A" w:rsidP="008710DE">
      <w:pPr>
        <w:rPr>
          <w:rFonts w:ascii="Verdana" w:hAnsi="Verdana"/>
          <w:b/>
          <w:bCs/>
          <w:i/>
          <w:iCs/>
          <w:sz w:val="20"/>
          <w:szCs w:val="20"/>
        </w:rPr>
      </w:pPr>
      <w:r w:rsidRPr="008710DE">
        <w:rPr>
          <w:rFonts w:ascii="Verdana" w:hAnsi="Verdana"/>
          <w:b/>
          <w:bCs/>
          <w:i/>
          <w:iCs/>
          <w:sz w:val="20"/>
          <w:szCs w:val="20"/>
        </w:rPr>
        <w:t xml:space="preserve">Descriptive </w:t>
      </w:r>
      <w:r w:rsidR="008710DE">
        <w:rPr>
          <w:rFonts w:ascii="Verdana" w:hAnsi="Verdana"/>
          <w:b/>
          <w:bCs/>
          <w:i/>
          <w:iCs/>
          <w:sz w:val="20"/>
          <w:szCs w:val="20"/>
        </w:rPr>
        <w:t>S</w:t>
      </w:r>
      <w:r w:rsidRPr="008710DE">
        <w:rPr>
          <w:rFonts w:ascii="Verdana" w:hAnsi="Verdana"/>
          <w:b/>
          <w:bCs/>
          <w:i/>
          <w:iCs/>
          <w:sz w:val="20"/>
          <w:szCs w:val="20"/>
        </w:rPr>
        <w:t xml:space="preserve">tatistic of </w:t>
      </w:r>
      <w:r w:rsidR="008710DE">
        <w:rPr>
          <w:rFonts w:ascii="Verdana" w:hAnsi="Verdana"/>
          <w:b/>
          <w:bCs/>
          <w:i/>
          <w:iCs/>
          <w:sz w:val="20"/>
          <w:szCs w:val="20"/>
        </w:rPr>
        <w:t>C</w:t>
      </w:r>
      <w:r w:rsidRPr="008710DE">
        <w:rPr>
          <w:rFonts w:ascii="Verdana" w:hAnsi="Verdana"/>
          <w:b/>
          <w:bCs/>
          <w:i/>
          <w:iCs/>
          <w:sz w:val="20"/>
          <w:szCs w:val="20"/>
        </w:rPr>
        <w:t>onscientiousness</w:t>
      </w:r>
    </w:p>
    <w:tbl>
      <w:tblPr>
        <w:tblStyle w:val="TableGrid"/>
        <w:tblW w:w="4709"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99"/>
        <w:gridCol w:w="2113"/>
        <w:gridCol w:w="1592"/>
        <w:gridCol w:w="1697"/>
      </w:tblGrid>
      <w:tr w:rsidR="007E1F8A" w:rsidRPr="00AB0A13" w14:paraId="15D39DDB" w14:textId="77777777" w:rsidTr="00AB0A13">
        <w:trPr>
          <w:cantSplit/>
          <w:trHeight w:val="20"/>
        </w:trPr>
        <w:tc>
          <w:tcPr>
            <w:tcW w:w="2096" w:type="pct"/>
            <w:tcBorders>
              <w:top w:val="single" w:sz="4" w:space="0" w:color="auto"/>
              <w:bottom w:val="single" w:sz="4" w:space="0" w:color="auto"/>
            </w:tcBorders>
            <w:vAlign w:val="center"/>
          </w:tcPr>
          <w:p w14:paraId="208098FF" w14:textId="77777777" w:rsidR="007E1F8A" w:rsidRPr="00AB0A13" w:rsidRDefault="007E1F8A" w:rsidP="005534E0">
            <w:pPr>
              <w:ind w:left="360"/>
              <w:rPr>
                <w:rFonts w:ascii="Verdana" w:eastAsia="Calibri" w:hAnsi="Verdana"/>
                <w:sz w:val="18"/>
                <w:szCs w:val="18"/>
              </w:rPr>
            </w:pPr>
            <w:r w:rsidRPr="00AB0A13">
              <w:rPr>
                <w:rFonts w:ascii="Verdana" w:eastAsia="Calibri" w:hAnsi="Verdana"/>
                <w:sz w:val="18"/>
                <w:szCs w:val="18"/>
              </w:rPr>
              <w:t>Responses</w:t>
            </w:r>
          </w:p>
        </w:tc>
        <w:tc>
          <w:tcPr>
            <w:tcW w:w="1136" w:type="pct"/>
            <w:tcBorders>
              <w:top w:val="single" w:sz="4" w:space="0" w:color="auto"/>
              <w:bottom w:val="single" w:sz="4" w:space="0" w:color="auto"/>
            </w:tcBorders>
            <w:vAlign w:val="center"/>
          </w:tcPr>
          <w:p w14:paraId="007A4136" w14:textId="77777777" w:rsidR="007E1F8A" w:rsidRPr="00AB0A13" w:rsidRDefault="007E1F8A" w:rsidP="005534E0">
            <w:pPr>
              <w:jc w:val="center"/>
              <w:rPr>
                <w:rFonts w:ascii="Verdana" w:eastAsia="Calibri" w:hAnsi="Verdana"/>
                <w:sz w:val="18"/>
                <w:szCs w:val="18"/>
              </w:rPr>
            </w:pPr>
            <w:r w:rsidRPr="00AB0A13">
              <w:rPr>
                <w:rFonts w:ascii="Verdana" w:eastAsia="Calibri" w:hAnsi="Verdana"/>
                <w:sz w:val="18"/>
                <w:szCs w:val="18"/>
              </w:rPr>
              <w:t>Frequency</w:t>
            </w:r>
          </w:p>
        </w:tc>
        <w:tc>
          <w:tcPr>
            <w:tcW w:w="856" w:type="pct"/>
            <w:tcBorders>
              <w:top w:val="single" w:sz="4" w:space="0" w:color="auto"/>
              <w:bottom w:val="single" w:sz="4" w:space="0" w:color="auto"/>
            </w:tcBorders>
            <w:vAlign w:val="center"/>
          </w:tcPr>
          <w:p w14:paraId="6D246E89" w14:textId="77777777" w:rsidR="007E1F8A" w:rsidRPr="00AB0A13" w:rsidRDefault="007E1F8A" w:rsidP="005534E0">
            <w:pPr>
              <w:jc w:val="center"/>
              <w:rPr>
                <w:rFonts w:ascii="Verdana" w:eastAsia="Calibri" w:hAnsi="Verdana"/>
                <w:sz w:val="18"/>
                <w:szCs w:val="18"/>
              </w:rPr>
            </w:pPr>
            <w:r w:rsidRPr="00AB0A13">
              <w:rPr>
                <w:rFonts w:ascii="Verdana" w:eastAsia="Calibri" w:hAnsi="Verdana"/>
                <w:sz w:val="18"/>
                <w:szCs w:val="18"/>
              </w:rPr>
              <w:t>Percent</w:t>
            </w:r>
          </w:p>
        </w:tc>
        <w:tc>
          <w:tcPr>
            <w:tcW w:w="912" w:type="pct"/>
            <w:tcBorders>
              <w:top w:val="single" w:sz="4" w:space="0" w:color="auto"/>
              <w:bottom w:val="single" w:sz="4" w:space="0" w:color="auto"/>
            </w:tcBorders>
            <w:vAlign w:val="center"/>
          </w:tcPr>
          <w:p w14:paraId="29B16745" w14:textId="77777777" w:rsidR="007E1F8A" w:rsidRPr="00AB0A13" w:rsidRDefault="007E1F8A" w:rsidP="005534E0">
            <w:pPr>
              <w:jc w:val="center"/>
              <w:rPr>
                <w:rFonts w:ascii="Verdana" w:eastAsia="Calibri" w:hAnsi="Verdana"/>
                <w:sz w:val="18"/>
                <w:szCs w:val="18"/>
              </w:rPr>
            </w:pPr>
            <w:r w:rsidRPr="00AB0A13">
              <w:rPr>
                <w:rFonts w:ascii="Verdana" w:eastAsia="Calibri" w:hAnsi="Verdana"/>
                <w:sz w:val="18"/>
                <w:szCs w:val="18"/>
              </w:rPr>
              <w:t>cumulative</w:t>
            </w:r>
          </w:p>
        </w:tc>
      </w:tr>
      <w:tr w:rsidR="007E1F8A" w:rsidRPr="00AB0A13" w14:paraId="211AE03F" w14:textId="77777777" w:rsidTr="00AB0A13">
        <w:trPr>
          <w:cantSplit/>
          <w:trHeight w:val="20"/>
        </w:trPr>
        <w:tc>
          <w:tcPr>
            <w:tcW w:w="2096" w:type="pct"/>
            <w:tcBorders>
              <w:top w:val="single" w:sz="4" w:space="0" w:color="auto"/>
            </w:tcBorders>
            <w:vAlign w:val="center"/>
          </w:tcPr>
          <w:p w14:paraId="725BA196" w14:textId="77777777" w:rsidR="007E1F8A" w:rsidRPr="00AB0A13" w:rsidRDefault="007E1F8A" w:rsidP="005534E0">
            <w:pPr>
              <w:ind w:left="360"/>
              <w:rPr>
                <w:rFonts w:ascii="Verdana" w:eastAsia="Calibri" w:hAnsi="Verdana"/>
                <w:sz w:val="18"/>
                <w:szCs w:val="18"/>
              </w:rPr>
            </w:pPr>
            <w:r w:rsidRPr="00AB0A13">
              <w:rPr>
                <w:rFonts w:ascii="Verdana" w:eastAsia="Calibri" w:hAnsi="Verdana"/>
                <w:sz w:val="18"/>
                <w:szCs w:val="18"/>
              </w:rPr>
              <w:t>Strongly Disagree</w:t>
            </w:r>
          </w:p>
        </w:tc>
        <w:tc>
          <w:tcPr>
            <w:tcW w:w="1136" w:type="pct"/>
            <w:tcBorders>
              <w:top w:val="single" w:sz="4" w:space="0" w:color="auto"/>
            </w:tcBorders>
            <w:vAlign w:val="center"/>
          </w:tcPr>
          <w:p w14:paraId="4052FF30" w14:textId="77777777" w:rsidR="007E1F8A" w:rsidRPr="00AB0A13" w:rsidRDefault="007E1F8A" w:rsidP="005534E0">
            <w:pPr>
              <w:ind w:left="540"/>
              <w:rPr>
                <w:rFonts w:ascii="Verdana" w:eastAsia="Calibri" w:hAnsi="Verdana"/>
                <w:sz w:val="18"/>
                <w:szCs w:val="18"/>
              </w:rPr>
            </w:pPr>
            <w:r w:rsidRPr="00AB0A13">
              <w:rPr>
                <w:rFonts w:ascii="Verdana" w:eastAsia="Calibri" w:hAnsi="Verdana"/>
                <w:sz w:val="18"/>
                <w:szCs w:val="18"/>
              </w:rPr>
              <w:t>12</w:t>
            </w:r>
          </w:p>
        </w:tc>
        <w:tc>
          <w:tcPr>
            <w:tcW w:w="856" w:type="pct"/>
            <w:tcBorders>
              <w:top w:val="single" w:sz="4" w:space="0" w:color="auto"/>
            </w:tcBorders>
            <w:vAlign w:val="center"/>
          </w:tcPr>
          <w:p w14:paraId="4B14AC7A" w14:textId="77777777" w:rsidR="007E1F8A" w:rsidRPr="00AB0A13" w:rsidRDefault="007E1F8A" w:rsidP="005534E0">
            <w:pPr>
              <w:ind w:left="468"/>
              <w:rPr>
                <w:rFonts w:ascii="Verdana" w:eastAsia="Calibri" w:hAnsi="Verdana"/>
                <w:sz w:val="18"/>
                <w:szCs w:val="18"/>
              </w:rPr>
            </w:pPr>
            <w:r w:rsidRPr="00AB0A13">
              <w:rPr>
                <w:rFonts w:ascii="Verdana" w:eastAsia="Calibri" w:hAnsi="Verdana"/>
                <w:sz w:val="18"/>
                <w:szCs w:val="18"/>
              </w:rPr>
              <w:t>4.2</w:t>
            </w:r>
          </w:p>
        </w:tc>
        <w:tc>
          <w:tcPr>
            <w:tcW w:w="912" w:type="pct"/>
            <w:tcBorders>
              <w:top w:val="single" w:sz="4" w:space="0" w:color="auto"/>
            </w:tcBorders>
            <w:vAlign w:val="center"/>
          </w:tcPr>
          <w:p w14:paraId="7329AE91" w14:textId="77777777" w:rsidR="007E1F8A" w:rsidRPr="00AB0A13" w:rsidRDefault="007E1F8A" w:rsidP="005534E0">
            <w:pPr>
              <w:ind w:left="360"/>
              <w:rPr>
                <w:rFonts w:ascii="Verdana" w:eastAsia="Calibri" w:hAnsi="Verdana"/>
                <w:sz w:val="18"/>
                <w:szCs w:val="18"/>
              </w:rPr>
            </w:pPr>
            <w:r w:rsidRPr="00AB0A13">
              <w:rPr>
                <w:rFonts w:ascii="Verdana" w:eastAsia="Calibri" w:hAnsi="Verdana"/>
                <w:sz w:val="18"/>
                <w:szCs w:val="18"/>
              </w:rPr>
              <w:t>4.2</w:t>
            </w:r>
          </w:p>
        </w:tc>
      </w:tr>
      <w:tr w:rsidR="007E1F8A" w:rsidRPr="00AB0A13" w14:paraId="64130371" w14:textId="77777777" w:rsidTr="00AB0A13">
        <w:trPr>
          <w:cantSplit/>
          <w:trHeight w:val="20"/>
        </w:trPr>
        <w:tc>
          <w:tcPr>
            <w:tcW w:w="2096" w:type="pct"/>
            <w:vAlign w:val="center"/>
          </w:tcPr>
          <w:p w14:paraId="1F199633" w14:textId="77777777" w:rsidR="007E1F8A" w:rsidRPr="00AB0A13" w:rsidRDefault="007E1F8A" w:rsidP="005534E0">
            <w:pPr>
              <w:ind w:left="360"/>
              <w:rPr>
                <w:rFonts w:ascii="Verdana" w:eastAsia="Calibri" w:hAnsi="Verdana"/>
                <w:sz w:val="18"/>
                <w:szCs w:val="18"/>
              </w:rPr>
            </w:pPr>
            <w:r w:rsidRPr="00AB0A13">
              <w:rPr>
                <w:rFonts w:ascii="Verdana" w:eastAsia="Calibri" w:hAnsi="Verdana"/>
                <w:sz w:val="18"/>
                <w:szCs w:val="18"/>
              </w:rPr>
              <w:t>Disagree</w:t>
            </w:r>
          </w:p>
        </w:tc>
        <w:tc>
          <w:tcPr>
            <w:tcW w:w="1136" w:type="pct"/>
            <w:vAlign w:val="center"/>
          </w:tcPr>
          <w:p w14:paraId="33A3D6AE" w14:textId="77777777" w:rsidR="007E1F8A" w:rsidRPr="00AB0A13" w:rsidRDefault="007E1F8A" w:rsidP="005534E0">
            <w:pPr>
              <w:ind w:left="540"/>
              <w:rPr>
                <w:rFonts w:ascii="Verdana" w:eastAsia="Calibri" w:hAnsi="Verdana"/>
                <w:sz w:val="18"/>
                <w:szCs w:val="18"/>
              </w:rPr>
            </w:pPr>
            <w:r w:rsidRPr="00AB0A13">
              <w:rPr>
                <w:rFonts w:ascii="Verdana" w:eastAsia="Calibri" w:hAnsi="Verdana"/>
                <w:sz w:val="18"/>
                <w:szCs w:val="18"/>
              </w:rPr>
              <w:t>22</w:t>
            </w:r>
          </w:p>
        </w:tc>
        <w:tc>
          <w:tcPr>
            <w:tcW w:w="856" w:type="pct"/>
            <w:vAlign w:val="center"/>
          </w:tcPr>
          <w:p w14:paraId="2F6F94DF" w14:textId="77777777" w:rsidR="007E1F8A" w:rsidRPr="00AB0A13" w:rsidRDefault="007E1F8A" w:rsidP="005534E0">
            <w:pPr>
              <w:ind w:left="468"/>
              <w:rPr>
                <w:rFonts w:ascii="Verdana" w:eastAsia="Calibri" w:hAnsi="Verdana"/>
                <w:sz w:val="18"/>
                <w:szCs w:val="18"/>
              </w:rPr>
            </w:pPr>
            <w:r w:rsidRPr="00AB0A13">
              <w:rPr>
                <w:rFonts w:ascii="Verdana" w:eastAsia="Calibri" w:hAnsi="Verdana"/>
                <w:sz w:val="18"/>
                <w:szCs w:val="18"/>
              </w:rPr>
              <w:t>7.7</w:t>
            </w:r>
          </w:p>
        </w:tc>
        <w:tc>
          <w:tcPr>
            <w:tcW w:w="912" w:type="pct"/>
            <w:vAlign w:val="center"/>
          </w:tcPr>
          <w:p w14:paraId="66AF09AC" w14:textId="77777777" w:rsidR="007E1F8A" w:rsidRPr="00AB0A13" w:rsidRDefault="007E1F8A" w:rsidP="005534E0">
            <w:pPr>
              <w:ind w:left="360"/>
              <w:rPr>
                <w:rFonts w:ascii="Verdana" w:eastAsia="Calibri" w:hAnsi="Verdana"/>
                <w:sz w:val="18"/>
                <w:szCs w:val="18"/>
              </w:rPr>
            </w:pPr>
            <w:r w:rsidRPr="00AB0A13">
              <w:rPr>
                <w:rFonts w:ascii="Verdana" w:eastAsia="Calibri" w:hAnsi="Verdana"/>
                <w:sz w:val="18"/>
                <w:szCs w:val="18"/>
              </w:rPr>
              <w:t>12</w:t>
            </w:r>
          </w:p>
        </w:tc>
      </w:tr>
      <w:tr w:rsidR="007E1F8A" w:rsidRPr="00AB0A13" w14:paraId="0542473D" w14:textId="77777777" w:rsidTr="00AB0A13">
        <w:trPr>
          <w:cantSplit/>
          <w:trHeight w:val="20"/>
        </w:trPr>
        <w:tc>
          <w:tcPr>
            <w:tcW w:w="2096" w:type="pct"/>
            <w:vAlign w:val="center"/>
          </w:tcPr>
          <w:p w14:paraId="4877FED6" w14:textId="77777777" w:rsidR="007E1F8A" w:rsidRPr="00AB0A13" w:rsidRDefault="007E1F8A" w:rsidP="005534E0">
            <w:pPr>
              <w:ind w:left="360"/>
              <w:rPr>
                <w:rFonts w:ascii="Verdana" w:eastAsia="Calibri" w:hAnsi="Verdana"/>
                <w:sz w:val="18"/>
                <w:szCs w:val="18"/>
              </w:rPr>
            </w:pPr>
            <w:r w:rsidRPr="00AB0A13">
              <w:rPr>
                <w:rFonts w:ascii="Verdana" w:eastAsia="Calibri" w:hAnsi="Verdana"/>
                <w:sz w:val="18"/>
                <w:szCs w:val="18"/>
              </w:rPr>
              <w:t>Neutral</w:t>
            </w:r>
          </w:p>
        </w:tc>
        <w:tc>
          <w:tcPr>
            <w:tcW w:w="1136" w:type="pct"/>
            <w:vAlign w:val="center"/>
          </w:tcPr>
          <w:p w14:paraId="3E782A17" w14:textId="77777777" w:rsidR="007E1F8A" w:rsidRPr="00AB0A13" w:rsidRDefault="007E1F8A" w:rsidP="005534E0">
            <w:pPr>
              <w:ind w:left="540"/>
              <w:rPr>
                <w:rFonts w:ascii="Verdana" w:eastAsia="Calibri" w:hAnsi="Verdana"/>
                <w:sz w:val="18"/>
                <w:szCs w:val="18"/>
              </w:rPr>
            </w:pPr>
            <w:r w:rsidRPr="00AB0A13">
              <w:rPr>
                <w:rFonts w:ascii="Verdana" w:eastAsia="Calibri" w:hAnsi="Verdana"/>
                <w:sz w:val="18"/>
                <w:szCs w:val="18"/>
              </w:rPr>
              <w:t>63</w:t>
            </w:r>
          </w:p>
        </w:tc>
        <w:tc>
          <w:tcPr>
            <w:tcW w:w="856" w:type="pct"/>
            <w:vAlign w:val="center"/>
          </w:tcPr>
          <w:p w14:paraId="22F37FBC" w14:textId="77777777" w:rsidR="007E1F8A" w:rsidRPr="00AB0A13" w:rsidRDefault="007E1F8A" w:rsidP="005534E0">
            <w:pPr>
              <w:ind w:left="468"/>
              <w:rPr>
                <w:rFonts w:ascii="Verdana" w:eastAsia="Calibri" w:hAnsi="Verdana"/>
                <w:sz w:val="18"/>
                <w:szCs w:val="18"/>
              </w:rPr>
            </w:pPr>
            <w:r w:rsidRPr="00AB0A13">
              <w:rPr>
                <w:rFonts w:ascii="Verdana" w:eastAsia="Calibri" w:hAnsi="Verdana"/>
                <w:sz w:val="18"/>
                <w:szCs w:val="18"/>
              </w:rPr>
              <w:t>22.2</w:t>
            </w:r>
          </w:p>
        </w:tc>
        <w:tc>
          <w:tcPr>
            <w:tcW w:w="912" w:type="pct"/>
            <w:vAlign w:val="center"/>
          </w:tcPr>
          <w:p w14:paraId="72781ECB" w14:textId="77777777" w:rsidR="007E1F8A" w:rsidRPr="00AB0A13" w:rsidRDefault="007E1F8A" w:rsidP="005534E0">
            <w:pPr>
              <w:ind w:left="360"/>
              <w:rPr>
                <w:rFonts w:ascii="Verdana" w:eastAsia="Calibri" w:hAnsi="Verdana"/>
                <w:sz w:val="18"/>
                <w:szCs w:val="18"/>
              </w:rPr>
            </w:pPr>
            <w:r w:rsidRPr="00AB0A13">
              <w:rPr>
                <w:rFonts w:ascii="Verdana" w:eastAsia="Calibri" w:hAnsi="Verdana"/>
                <w:sz w:val="18"/>
                <w:szCs w:val="18"/>
              </w:rPr>
              <w:t>34.2</w:t>
            </w:r>
          </w:p>
        </w:tc>
      </w:tr>
      <w:tr w:rsidR="007E1F8A" w:rsidRPr="00AB0A13" w14:paraId="64FAE759" w14:textId="77777777" w:rsidTr="00AB0A13">
        <w:trPr>
          <w:cantSplit/>
          <w:trHeight w:val="20"/>
        </w:trPr>
        <w:tc>
          <w:tcPr>
            <w:tcW w:w="2096" w:type="pct"/>
            <w:vAlign w:val="center"/>
          </w:tcPr>
          <w:p w14:paraId="5AB39B71" w14:textId="77777777" w:rsidR="007E1F8A" w:rsidRPr="00AB0A13" w:rsidRDefault="007E1F8A" w:rsidP="005534E0">
            <w:pPr>
              <w:ind w:left="360"/>
              <w:rPr>
                <w:rFonts w:ascii="Verdana" w:eastAsia="Calibri" w:hAnsi="Verdana"/>
                <w:sz w:val="18"/>
                <w:szCs w:val="18"/>
              </w:rPr>
            </w:pPr>
            <w:r w:rsidRPr="00AB0A13">
              <w:rPr>
                <w:rFonts w:ascii="Verdana" w:eastAsia="Calibri" w:hAnsi="Verdana"/>
                <w:sz w:val="18"/>
                <w:szCs w:val="18"/>
              </w:rPr>
              <w:t>Agree</w:t>
            </w:r>
          </w:p>
        </w:tc>
        <w:tc>
          <w:tcPr>
            <w:tcW w:w="1136" w:type="pct"/>
            <w:vAlign w:val="center"/>
          </w:tcPr>
          <w:p w14:paraId="375F254E" w14:textId="77777777" w:rsidR="007E1F8A" w:rsidRPr="00AB0A13" w:rsidRDefault="007E1F8A" w:rsidP="005534E0">
            <w:pPr>
              <w:ind w:left="540"/>
              <w:rPr>
                <w:rFonts w:ascii="Verdana" w:eastAsia="Calibri" w:hAnsi="Verdana"/>
                <w:sz w:val="18"/>
                <w:szCs w:val="18"/>
              </w:rPr>
            </w:pPr>
            <w:r w:rsidRPr="00AB0A13">
              <w:rPr>
                <w:rFonts w:ascii="Verdana" w:eastAsia="Calibri" w:hAnsi="Verdana"/>
                <w:sz w:val="18"/>
                <w:szCs w:val="18"/>
              </w:rPr>
              <w:t>119</w:t>
            </w:r>
          </w:p>
        </w:tc>
        <w:tc>
          <w:tcPr>
            <w:tcW w:w="856" w:type="pct"/>
            <w:vAlign w:val="center"/>
          </w:tcPr>
          <w:p w14:paraId="5826E059" w14:textId="77777777" w:rsidR="007E1F8A" w:rsidRPr="00AB0A13" w:rsidRDefault="007E1F8A" w:rsidP="005534E0">
            <w:pPr>
              <w:ind w:left="468"/>
              <w:rPr>
                <w:rFonts w:ascii="Verdana" w:eastAsia="Calibri" w:hAnsi="Verdana"/>
                <w:sz w:val="18"/>
                <w:szCs w:val="18"/>
              </w:rPr>
            </w:pPr>
            <w:r w:rsidRPr="00AB0A13">
              <w:rPr>
                <w:rFonts w:ascii="Verdana" w:eastAsia="Calibri" w:hAnsi="Verdana"/>
                <w:sz w:val="18"/>
                <w:szCs w:val="18"/>
              </w:rPr>
              <w:t>41.9</w:t>
            </w:r>
          </w:p>
        </w:tc>
        <w:tc>
          <w:tcPr>
            <w:tcW w:w="912" w:type="pct"/>
            <w:vAlign w:val="center"/>
          </w:tcPr>
          <w:p w14:paraId="6679AD51" w14:textId="77777777" w:rsidR="007E1F8A" w:rsidRPr="00AB0A13" w:rsidRDefault="007E1F8A" w:rsidP="005534E0">
            <w:pPr>
              <w:ind w:left="360"/>
              <w:rPr>
                <w:rFonts w:ascii="Verdana" w:eastAsia="Calibri" w:hAnsi="Verdana"/>
                <w:sz w:val="18"/>
                <w:szCs w:val="18"/>
              </w:rPr>
            </w:pPr>
            <w:r w:rsidRPr="00AB0A13">
              <w:rPr>
                <w:rFonts w:ascii="Verdana" w:eastAsia="Calibri" w:hAnsi="Verdana"/>
                <w:sz w:val="18"/>
                <w:szCs w:val="18"/>
              </w:rPr>
              <w:t>76.1</w:t>
            </w:r>
          </w:p>
        </w:tc>
      </w:tr>
      <w:tr w:rsidR="007E1F8A" w:rsidRPr="00AB0A13" w14:paraId="7039D8A0" w14:textId="77777777" w:rsidTr="00AB0A13">
        <w:trPr>
          <w:cantSplit/>
          <w:trHeight w:val="20"/>
        </w:trPr>
        <w:tc>
          <w:tcPr>
            <w:tcW w:w="2096" w:type="pct"/>
            <w:vAlign w:val="center"/>
          </w:tcPr>
          <w:p w14:paraId="088A22E4" w14:textId="77777777" w:rsidR="007E1F8A" w:rsidRPr="00AB0A13" w:rsidRDefault="007E1F8A" w:rsidP="005534E0">
            <w:pPr>
              <w:ind w:left="360"/>
              <w:rPr>
                <w:rFonts w:ascii="Verdana" w:eastAsia="Calibri" w:hAnsi="Verdana"/>
                <w:sz w:val="18"/>
                <w:szCs w:val="18"/>
              </w:rPr>
            </w:pPr>
            <w:r w:rsidRPr="00AB0A13">
              <w:rPr>
                <w:rFonts w:ascii="Verdana" w:eastAsia="Calibri" w:hAnsi="Verdana"/>
                <w:sz w:val="18"/>
                <w:szCs w:val="18"/>
              </w:rPr>
              <w:t>Strongly Agree</w:t>
            </w:r>
          </w:p>
        </w:tc>
        <w:tc>
          <w:tcPr>
            <w:tcW w:w="1136" w:type="pct"/>
            <w:vAlign w:val="center"/>
          </w:tcPr>
          <w:p w14:paraId="36694B56" w14:textId="77777777" w:rsidR="007E1F8A" w:rsidRPr="00AB0A13" w:rsidRDefault="007E1F8A" w:rsidP="005534E0">
            <w:pPr>
              <w:ind w:left="540"/>
              <w:rPr>
                <w:rFonts w:ascii="Verdana" w:eastAsia="Calibri" w:hAnsi="Verdana"/>
                <w:sz w:val="18"/>
                <w:szCs w:val="18"/>
              </w:rPr>
            </w:pPr>
            <w:r w:rsidRPr="00AB0A13">
              <w:rPr>
                <w:rFonts w:ascii="Verdana" w:eastAsia="Calibri" w:hAnsi="Verdana"/>
                <w:sz w:val="18"/>
                <w:szCs w:val="18"/>
              </w:rPr>
              <w:t>68</w:t>
            </w:r>
          </w:p>
        </w:tc>
        <w:tc>
          <w:tcPr>
            <w:tcW w:w="856" w:type="pct"/>
            <w:vAlign w:val="center"/>
          </w:tcPr>
          <w:p w14:paraId="007BF92A" w14:textId="77777777" w:rsidR="007E1F8A" w:rsidRPr="00AB0A13" w:rsidRDefault="007E1F8A" w:rsidP="005534E0">
            <w:pPr>
              <w:ind w:left="468"/>
              <w:rPr>
                <w:rFonts w:ascii="Verdana" w:eastAsia="Calibri" w:hAnsi="Verdana"/>
                <w:sz w:val="18"/>
                <w:szCs w:val="18"/>
              </w:rPr>
            </w:pPr>
            <w:r w:rsidRPr="00AB0A13">
              <w:rPr>
                <w:rFonts w:ascii="Verdana" w:eastAsia="Calibri" w:hAnsi="Verdana"/>
                <w:sz w:val="18"/>
                <w:szCs w:val="18"/>
              </w:rPr>
              <w:t>23.9</w:t>
            </w:r>
          </w:p>
        </w:tc>
        <w:tc>
          <w:tcPr>
            <w:tcW w:w="912" w:type="pct"/>
            <w:vAlign w:val="center"/>
          </w:tcPr>
          <w:p w14:paraId="2F126859" w14:textId="77777777" w:rsidR="007E1F8A" w:rsidRPr="00AB0A13" w:rsidRDefault="007E1F8A" w:rsidP="005534E0">
            <w:pPr>
              <w:ind w:left="360"/>
              <w:rPr>
                <w:rFonts w:ascii="Verdana" w:eastAsia="Calibri" w:hAnsi="Verdana"/>
                <w:sz w:val="18"/>
                <w:szCs w:val="18"/>
              </w:rPr>
            </w:pPr>
            <w:r w:rsidRPr="00AB0A13">
              <w:rPr>
                <w:rFonts w:ascii="Verdana" w:eastAsia="Calibri" w:hAnsi="Verdana"/>
                <w:sz w:val="18"/>
                <w:szCs w:val="18"/>
              </w:rPr>
              <w:t>100</w:t>
            </w:r>
          </w:p>
        </w:tc>
      </w:tr>
      <w:tr w:rsidR="007E1F8A" w:rsidRPr="00AB0A13" w14:paraId="4BAFE355" w14:textId="77777777" w:rsidTr="00AB0A13">
        <w:trPr>
          <w:cantSplit/>
          <w:trHeight w:val="20"/>
        </w:trPr>
        <w:tc>
          <w:tcPr>
            <w:tcW w:w="2096" w:type="pct"/>
            <w:vAlign w:val="center"/>
          </w:tcPr>
          <w:p w14:paraId="7638639A" w14:textId="77777777" w:rsidR="007E1F8A" w:rsidRPr="00AB0A13" w:rsidRDefault="007E1F8A" w:rsidP="005534E0">
            <w:pPr>
              <w:ind w:left="360"/>
              <w:rPr>
                <w:rFonts w:ascii="Verdana" w:eastAsia="Calibri" w:hAnsi="Verdana"/>
                <w:sz w:val="18"/>
                <w:szCs w:val="18"/>
              </w:rPr>
            </w:pPr>
            <w:r w:rsidRPr="00AB0A13">
              <w:rPr>
                <w:rFonts w:ascii="Verdana" w:eastAsia="Calibri" w:hAnsi="Verdana"/>
                <w:sz w:val="18"/>
                <w:szCs w:val="18"/>
              </w:rPr>
              <w:t>Total</w:t>
            </w:r>
          </w:p>
        </w:tc>
        <w:tc>
          <w:tcPr>
            <w:tcW w:w="1136" w:type="pct"/>
            <w:vAlign w:val="center"/>
          </w:tcPr>
          <w:p w14:paraId="6C51FBB6" w14:textId="77777777" w:rsidR="007E1F8A" w:rsidRPr="00AB0A13" w:rsidRDefault="007E1F8A" w:rsidP="005534E0">
            <w:pPr>
              <w:ind w:left="540"/>
              <w:rPr>
                <w:rFonts w:ascii="Verdana" w:eastAsia="Calibri" w:hAnsi="Verdana"/>
                <w:sz w:val="18"/>
                <w:szCs w:val="18"/>
              </w:rPr>
            </w:pPr>
            <w:r w:rsidRPr="00AB0A13">
              <w:rPr>
                <w:rFonts w:ascii="Verdana" w:eastAsia="Calibri" w:hAnsi="Verdana"/>
                <w:sz w:val="18"/>
                <w:szCs w:val="18"/>
              </w:rPr>
              <w:t>284</w:t>
            </w:r>
          </w:p>
        </w:tc>
        <w:tc>
          <w:tcPr>
            <w:tcW w:w="856" w:type="pct"/>
            <w:vAlign w:val="center"/>
          </w:tcPr>
          <w:p w14:paraId="20325D32" w14:textId="77777777" w:rsidR="007E1F8A" w:rsidRPr="00AB0A13" w:rsidRDefault="007E1F8A" w:rsidP="005534E0">
            <w:pPr>
              <w:ind w:left="468"/>
              <w:rPr>
                <w:rFonts w:ascii="Verdana" w:eastAsia="Calibri" w:hAnsi="Verdana"/>
                <w:sz w:val="18"/>
                <w:szCs w:val="18"/>
              </w:rPr>
            </w:pPr>
            <w:r w:rsidRPr="00AB0A13">
              <w:rPr>
                <w:rFonts w:ascii="Verdana" w:eastAsia="Calibri" w:hAnsi="Verdana"/>
                <w:sz w:val="18"/>
                <w:szCs w:val="18"/>
              </w:rPr>
              <w:t>100</w:t>
            </w:r>
          </w:p>
        </w:tc>
        <w:tc>
          <w:tcPr>
            <w:tcW w:w="912" w:type="pct"/>
            <w:vAlign w:val="center"/>
          </w:tcPr>
          <w:p w14:paraId="472E062E" w14:textId="77777777" w:rsidR="007E1F8A" w:rsidRPr="00AB0A13" w:rsidRDefault="007E1F8A" w:rsidP="005534E0">
            <w:pPr>
              <w:jc w:val="center"/>
              <w:rPr>
                <w:rFonts w:ascii="Verdana" w:eastAsia="Calibri" w:hAnsi="Verdana"/>
                <w:sz w:val="18"/>
                <w:szCs w:val="18"/>
              </w:rPr>
            </w:pPr>
          </w:p>
        </w:tc>
      </w:tr>
    </w:tbl>
    <w:p w14:paraId="35B11ECD" w14:textId="77777777" w:rsidR="007E1F8A" w:rsidRPr="00195E39" w:rsidRDefault="007E1F8A" w:rsidP="007E1F8A">
      <w:pPr>
        <w:rPr>
          <w:rFonts w:ascii="Verdana" w:hAnsi="Verdana"/>
          <w:sz w:val="20"/>
          <w:szCs w:val="20"/>
        </w:rPr>
      </w:pPr>
    </w:p>
    <w:p w14:paraId="66F78007" w14:textId="5A258EB3" w:rsidR="007E1F8A" w:rsidRPr="00D55D0B" w:rsidRDefault="007E1F8A" w:rsidP="00D55D0B">
      <w:pPr>
        <w:pStyle w:val="ListParagraph"/>
        <w:numPr>
          <w:ilvl w:val="2"/>
          <w:numId w:val="39"/>
        </w:numPr>
        <w:ind w:left="709"/>
        <w:rPr>
          <w:rFonts w:ascii="Verdana" w:hAnsi="Verdana"/>
          <w:b/>
          <w:sz w:val="22"/>
          <w:szCs w:val="22"/>
        </w:rPr>
      </w:pPr>
      <w:r w:rsidRPr="00D55D0B">
        <w:rPr>
          <w:rFonts w:ascii="Verdana" w:hAnsi="Verdana"/>
          <w:b/>
          <w:sz w:val="22"/>
          <w:szCs w:val="22"/>
        </w:rPr>
        <w:t>Descriptive statistic of Neuroticism</w:t>
      </w:r>
    </w:p>
    <w:p w14:paraId="4FB9ED16" w14:textId="77777777" w:rsidR="00D55D0B" w:rsidRDefault="00D55D0B" w:rsidP="00D55D0B">
      <w:pPr>
        <w:ind w:left="0" w:firstLine="709"/>
        <w:rPr>
          <w:rFonts w:ascii="Verdana" w:hAnsi="Verdana"/>
          <w:sz w:val="20"/>
          <w:szCs w:val="20"/>
        </w:rPr>
      </w:pPr>
    </w:p>
    <w:p w14:paraId="3FF7796A" w14:textId="6DE044BD" w:rsidR="007E1F8A" w:rsidRPr="00195E39" w:rsidRDefault="007E1F8A" w:rsidP="00D55D0B">
      <w:pPr>
        <w:ind w:left="0" w:firstLine="709"/>
        <w:rPr>
          <w:rFonts w:ascii="Verdana" w:hAnsi="Verdana"/>
          <w:sz w:val="20"/>
          <w:szCs w:val="20"/>
        </w:rPr>
      </w:pPr>
      <w:r w:rsidRPr="00195E39">
        <w:rPr>
          <w:rFonts w:ascii="Verdana" w:hAnsi="Verdana"/>
          <w:sz w:val="20"/>
          <w:szCs w:val="20"/>
        </w:rPr>
        <w:t>Table 7 provides descriptive statistics on the neuroticism trait among investors in Lower Dir. The data reveals that 12% strongly disagree and 23.6% disagree with this trait, while 27.5% remain neutral. On the positive side, 28.5% agree, and 8.5% strongly agree with neuroticism. The results suggest that a significant majority of individuals in the study exhibit a tendency toward emotional stability, as indicated by their responses of strongly disagree, disagree, or neutral regarding neuroticism. This emotional stability may play a crucial role in shaping their overall financial risk tolerance, as demonstrated in Table 4.8, where a notable portion of investors in Lower Dir displays an inclination towards higher levels of financial risk-taking, potentially influenced by their emotional resilience and stability.</w:t>
      </w:r>
    </w:p>
    <w:p w14:paraId="76B8EEC7" w14:textId="77777777" w:rsidR="00D16842" w:rsidRDefault="00D16842" w:rsidP="007E1F8A">
      <w:pPr>
        <w:rPr>
          <w:rFonts w:ascii="Verdana" w:hAnsi="Verdana"/>
          <w:b/>
          <w:bCs/>
          <w:sz w:val="20"/>
          <w:szCs w:val="20"/>
        </w:rPr>
      </w:pPr>
      <w:bookmarkStart w:id="7" w:name="_Hlk135910525"/>
    </w:p>
    <w:p w14:paraId="13F9AE6D" w14:textId="2FAD2FEC" w:rsidR="007E1F8A" w:rsidRPr="00195E39" w:rsidRDefault="007E1F8A" w:rsidP="007E1F8A">
      <w:pPr>
        <w:rPr>
          <w:rFonts w:ascii="Verdana" w:hAnsi="Verdana"/>
          <w:sz w:val="20"/>
          <w:szCs w:val="20"/>
        </w:rPr>
      </w:pPr>
      <w:r w:rsidRPr="00195E39">
        <w:rPr>
          <w:rFonts w:ascii="Verdana" w:hAnsi="Verdana"/>
          <w:b/>
          <w:bCs/>
          <w:sz w:val="20"/>
          <w:szCs w:val="20"/>
        </w:rPr>
        <w:t>Table 7</w:t>
      </w:r>
      <w:r w:rsidRPr="00195E39">
        <w:rPr>
          <w:rFonts w:ascii="Verdana" w:hAnsi="Verdana"/>
          <w:sz w:val="20"/>
          <w:szCs w:val="20"/>
        </w:rPr>
        <w:t xml:space="preserve"> </w:t>
      </w:r>
    </w:p>
    <w:p w14:paraId="6CA55A0C" w14:textId="22142C4E" w:rsidR="007E1F8A" w:rsidRPr="00D16842" w:rsidRDefault="007E1F8A" w:rsidP="007E1F8A">
      <w:pPr>
        <w:rPr>
          <w:rFonts w:ascii="Verdana" w:hAnsi="Verdana"/>
          <w:b/>
          <w:bCs/>
          <w:i/>
          <w:iCs/>
          <w:sz w:val="20"/>
          <w:szCs w:val="20"/>
        </w:rPr>
      </w:pPr>
      <w:r w:rsidRPr="00D16842">
        <w:rPr>
          <w:rFonts w:ascii="Verdana" w:hAnsi="Verdana"/>
          <w:b/>
          <w:bCs/>
          <w:i/>
          <w:iCs/>
          <w:sz w:val="20"/>
          <w:szCs w:val="20"/>
        </w:rPr>
        <w:t>Descriptive statistic of Neuroticism</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2244"/>
        <w:gridCol w:w="1691"/>
        <w:gridCol w:w="1801"/>
      </w:tblGrid>
      <w:tr w:rsidR="007E1F8A" w:rsidRPr="00D16842" w14:paraId="54FA0451" w14:textId="77777777" w:rsidTr="00D16842">
        <w:trPr>
          <w:cantSplit/>
          <w:trHeight w:val="20"/>
        </w:trPr>
        <w:tc>
          <w:tcPr>
            <w:tcW w:w="2096" w:type="pct"/>
            <w:tcBorders>
              <w:top w:val="single" w:sz="4" w:space="0" w:color="auto"/>
              <w:bottom w:val="single" w:sz="4" w:space="0" w:color="auto"/>
            </w:tcBorders>
            <w:vAlign w:val="center"/>
          </w:tcPr>
          <w:bookmarkEnd w:id="7"/>
          <w:p w14:paraId="1E7C5F05" w14:textId="77777777" w:rsidR="007E1F8A" w:rsidRPr="00D16842" w:rsidRDefault="007E1F8A" w:rsidP="005534E0">
            <w:pPr>
              <w:ind w:left="360"/>
              <w:rPr>
                <w:rFonts w:ascii="Verdana" w:eastAsia="Calibri" w:hAnsi="Verdana"/>
                <w:b/>
                <w:bCs/>
                <w:sz w:val="18"/>
                <w:szCs w:val="18"/>
              </w:rPr>
            </w:pPr>
            <w:r w:rsidRPr="00D16842">
              <w:rPr>
                <w:rFonts w:ascii="Verdana" w:eastAsia="Calibri" w:hAnsi="Verdana"/>
                <w:b/>
                <w:bCs/>
                <w:sz w:val="18"/>
                <w:szCs w:val="18"/>
              </w:rPr>
              <w:t>Responses</w:t>
            </w:r>
          </w:p>
        </w:tc>
        <w:tc>
          <w:tcPr>
            <w:tcW w:w="1136" w:type="pct"/>
            <w:tcBorders>
              <w:top w:val="single" w:sz="4" w:space="0" w:color="auto"/>
              <w:bottom w:val="single" w:sz="4" w:space="0" w:color="auto"/>
            </w:tcBorders>
            <w:vAlign w:val="center"/>
          </w:tcPr>
          <w:p w14:paraId="24560295" w14:textId="77777777" w:rsidR="007E1F8A" w:rsidRPr="00D16842" w:rsidRDefault="007E1F8A" w:rsidP="00D16842">
            <w:pPr>
              <w:ind w:left="0" w:firstLine="0"/>
              <w:rPr>
                <w:rFonts w:ascii="Verdana" w:eastAsia="Calibri" w:hAnsi="Verdana"/>
                <w:b/>
                <w:bCs/>
                <w:sz w:val="18"/>
                <w:szCs w:val="18"/>
              </w:rPr>
            </w:pPr>
            <w:r w:rsidRPr="00D16842">
              <w:rPr>
                <w:rFonts w:ascii="Verdana" w:eastAsia="Calibri" w:hAnsi="Verdana"/>
                <w:b/>
                <w:bCs/>
                <w:sz w:val="18"/>
                <w:szCs w:val="18"/>
              </w:rPr>
              <w:t>Frequency</w:t>
            </w:r>
          </w:p>
        </w:tc>
        <w:tc>
          <w:tcPr>
            <w:tcW w:w="856" w:type="pct"/>
            <w:tcBorders>
              <w:top w:val="single" w:sz="4" w:space="0" w:color="auto"/>
              <w:bottom w:val="single" w:sz="4" w:space="0" w:color="auto"/>
            </w:tcBorders>
            <w:vAlign w:val="center"/>
          </w:tcPr>
          <w:p w14:paraId="12ADD7B6" w14:textId="77777777" w:rsidR="007E1F8A" w:rsidRPr="00D16842" w:rsidRDefault="007E1F8A" w:rsidP="00D16842">
            <w:pPr>
              <w:ind w:left="0" w:firstLine="0"/>
              <w:rPr>
                <w:rFonts w:ascii="Verdana" w:eastAsia="Calibri" w:hAnsi="Verdana"/>
                <w:b/>
                <w:bCs/>
                <w:sz w:val="18"/>
                <w:szCs w:val="18"/>
              </w:rPr>
            </w:pPr>
            <w:r w:rsidRPr="00D16842">
              <w:rPr>
                <w:rFonts w:ascii="Verdana" w:eastAsia="Calibri" w:hAnsi="Verdana"/>
                <w:b/>
                <w:bCs/>
                <w:sz w:val="18"/>
                <w:szCs w:val="18"/>
              </w:rPr>
              <w:t>Percent</w:t>
            </w:r>
          </w:p>
        </w:tc>
        <w:tc>
          <w:tcPr>
            <w:tcW w:w="912" w:type="pct"/>
            <w:tcBorders>
              <w:top w:val="single" w:sz="4" w:space="0" w:color="auto"/>
              <w:bottom w:val="single" w:sz="4" w:space="0" w:color="auto"/>
            </w:tcBorders>
            <w:vAlign w:val="center"/>
          </w:tcPr>
          <w:p w14:paraId="323922D5" w14:textId="0E5F8578" w:rsidR="007E1F8A" w:rsidRPr="00D16842" w:rsidRDefault="00D16842" w:rsidP="00D16842">
            <w:pPr>
              <w:ind w:left="0" w:firstLine="0"/>
              <w:rPr>
                <w:rFonts w:ascii="Verdana" w:eastAsia="Calibri" w:hAnsi="Verdana"/>
                <w:b/>
                <w:bCs/>
                <w:sz w:val="18"/>
                <w:szCs w:val="18"/>
              </w:rPr>
            </w:pPr>
            <w:r>
              <w:rPr>
                <w:rFonts w:ascii="Verdana" w:eastAsia="Calibri" w:hAnsi="Verdana"/>
                <w:b/>
                <w:bCs/>
                <w:sz w:val="18"/>
                <w:szCs w:val="18"/>
              </w:rPr>
              <w:t>C</w:t>
            </w:r>
            <w:r w:rsidR="007E1F8A" w:rsidRPr="00D16842">
              <w:rPr>
                <w:rFonts w:ascii="Verdana" w:eastAsia="Calibri" w:hAnsi="Verdana"/>
                <w:b/>
                <w:bCs/>
                <w:sz w:val="18"/>
                <w:szCs w:val="18"/>
              </w:rPr>
              <w:t>umulative</w:t>
            </w:r>
          </w:p>
        </w:tc>
      </w:tr>
      <w:tr w:rsidR="007E1F8A" w:rsidRPr="00D16842" w14:paraId="2083084F" w14:textId="77777777" w:rsidTr="00D16842">
        <w:trPr>
          <w:cantSplit/>
          <w:trHeight w:val="20"/>
        </w:trPr>
        <w:tc>
          <w:tcPr>
            <w:tcW w:w="2096" w:type="pct"/>
            <w:tcBorders>
              <w:top w:val="single" w:sz="4" w:space="0" w:color="auto"/>
            </w:tcBorders>
            <w:vAlign w:val="center"/>
          </w:tcPr>
          <w:p w14:paraId="16848772" w14:textId="77777777" w:rsidR="007E1F8A" w:rsidRPr="00D16842" w:rsidRDefault="007E1F8A" w:rsidP="005534E0">
            <w:pPr>
              <w:ind w:left="360"/>
              <w:rPr>
                <w:rFonts w:ascii="Verdana" w:eastAsia="Calibri" w:hAnsi="Verdana"/>
                <w:sz w:val="18"/>
                <w:szCs w:val="18"/>
              </w:rPr>
            </w:pPr>
            <w:r w:rsidRPr="00D16842">
              <w:rPr>
                <w:rFonts w:ascii="Verdana" w:eastAsia="Calibri" w:hAnsi="Verdana"/>
                <w:sz w:val="18"/>
                <w:szCs w:val="18"/>
              </w:rPr>
              <w:t>Strongly Disagree</w:t>
            </w:r>
          </w:p>
        </w:tc>
        <w:tc>
          <w:tcPr>
            <w:tcW w:w="1136" w:type="pct"/>
            <w:tcBorders>
              <w:top w:val="single" w:sz="4" w:space="0" w:color="auto"/>
            </w:tcBorders>
            <w:vAlign w:val="center"/>
          </w:tcPr>
          <w:p w14:paraId="754CE917" w14:textId="77777777" w:rsidR="007E1F8A" w:rsidRPr="00D16842" w:rsidRDefault="007E1F8A" w:rsidP="005534E0">
            <w:pPr>
              <w:ind w:left="540"/>
              <w:rPr>
                <w:rFonts w:ascii="Verdana" w:eastAsia="Calibri" w:hAnsi="Verdana"/>
                <w:sz w:val="18"/>
                <w:szCs w:val="18"/>
              </w:rPr>
            </w:pPr>
            <w:r w:rsidRPr="00D16842">
              <w:rPr>
                <w:rFonts w:ascii="Verdana" w:eastAsia="Calibri" w:hAnsi="Verdana"/>
                <w:sz w:val="18"/>
                <w:szCs w:val="18"/>
              </w:rPr>
              <w:t>34</w:t>
            </w:r>
          </w:p>
        </w:tc>
        <w:tc>
          <w:tcPr>
            <w:tcW w:w="856" w:type="pct"/>
            <w:tcBorders>
              <w:top w:val="single" w:sz="4" w:space="0" w:color="auto"/>
            </w:tcBorders>
            <w:vAlign w:val="center"/>
          </w:tcPr>
          <w:p w14:paraId="22971EE7" w14:textId="77777777" w:rsidR="007E1F8A" w:rsidRPr="00D16842" w:rsidRDefault="007E1F8A" w:rsidP="005534E0">
            <w:pPr>
              <w:ind w:left="378" w:hanging="18"/>
              <w:rPr>
                <w:rFonts w:ascii="Verdana" w:eastAsia="Calibri" w:hAnsi="Verdana"/>
                <w:sz w:val="18"/>
                <w:szCs w:val="18"/>
              </w:rPr>
            </w:pPr>
            <w:r w:rsidRPr="00D16842">
              <w:rPr>
                <w:rFonts w:ascii="Verdana" w:eastAsia="Calibri" w:hAnsi="Verdana"/>
                <w:sz w:val="18"/>
                <w:szCs w:val="18"/>
              </w:rPr>
              <w:t>12</w:t>
            </w:r>
          </w:p>
        </w:tc>
        <w:tc>
          <w:tcPr>
            <w:tcW w:w="912" w:type="pct"/>
            <w:tcBorders>
              <w:top w:val="single" w:sz="4" w:space="0" w:color="auto"/>
            </w:tcBorders>
            <w:vAlign w:val="center"/>
          </w:tcPr>
          <w:p w14:paraId="1A894E06" w14:textId="77777777" w:rsidR="007E1F8A" w:rsidRPr="00D16842" w:rsidRDefault="007E1F8A" w:rsidP="005534E0">
            <w:pPr>
              <w:ind w:left="360"/>
              <w:rPr>
                <w:rFonts w:ascii="Verdana" w:eastAsia="Calibri" w:hAnsi="Verdana"/>
                <w:sz w:val="18"/>
                <w:szCs w:val="18"/>
              </w:rPr>
            </w:pPr>
            <w:r w:rsidRPr="00D16842">
              <w:rPr>
                <w:rFonts w:ascii="Verdana" w:eastAsia="Calibri" w:hAnsi="Verdana"/>
                <w:sz w:val="18"/>
                <w:szCs w:val="18"/>
              </w:rPr>
              <w:t>12</w:t>
            </w:r>
          </w:p>
        </w:tc>
      </w:tr>
      <w:tr w:rsidR="007E1F8A" w:rsidRPr="00D16842" w14:paraId="362F2FC1" w14:textId="77777777" w:rsidTr="00D16842">
        <w:trPr>
          <w:cantSplit/>
          <w:trHeight w:val="20"/>
        </w:trPr>
        <w:tc>
          <w:tcPr>
            <w:tcW w:w="2096" w:type="pct"/>
            <w:vAlign w:val="center"/>
          </w:tcPr>
          <w:p w14:paraId="5DE28727" w14:textId="77777777" w:rsidR="007E1F8A" w:rsidRPr="00D16842" w:rsidRDefault="007E1F8A" w:rsidP="005534E0">
            <w:pPr>
              <w:ind w:left="360"/>
              <w:rPr>
                <w:rFonts w:ascii="Verdana" w:eastAsia="Calibri" w:hAnsi="Verdana"/>
                <w:sz w:val="18"/>
                <w:szCs w:val="18"/>
              </w:rPr>
            </w:pPr>
            <w:r w:rsidRPr="00D16842">
              <w:rPr>
                <w:rFonts w:ascii="Verdana" w:eastAsia="Calibri" w:hAnsi="Verdana"/>
                <w:sz w:val="18"/>
                <w:szCs w:val="18"/>
              </w:rPr>
              <w:t>Disagree</w:t>
            </w:r>
          </w:p>
        </w:tc>
        <w:tc>
          <w:tcPr>
            <w:tcW w:w="1136" w:type="pct"/>
            <w:vAlign w:val="center"/>
          </w:tcPr>
          <w:p w14:paraId="5667D5CF" w14:textId="77777777" w:rsidR="007E1F8A" w:rsidRPr="00D16842" w:rsidRDefault="007E1F8A" w:rsidP="005534E0">
            <w:pPr>
              <w:ind w:left="540"/>
              <w:rPr>
                <w:rFonts w:ascii="Verdana" w:eastAsia="Calibri" w:hAnsi="Verdana"/>
                <w:sz w:val="18"/>
                <w:szCs w:val="18"/>
              </w:rPr>
            </w:pPr>
            <w:r w:rsidRPr="00D16842">
              <w:rPr>
                <w:rFonts w:ascii="Verdana" w:eastAsia="Calibri" w:hAnsi="Verdana"/>
                <w:sz w:val="18"/>
                <w:szCs w:val="18"/>
              </w:rPr>
              <w:t>67</w:t>
            </w:r>
          </w:p>
        </w:tc>
        <w:tc>
          <w:tcPr>
            <w:tcW w:w="856" w:type="pct"/>
            <w:vAlign w:val="center"/>
          </w:tcPr>
          <w:p w14:paraId="68823C97" w14:textId="77777777" w:rsidR="007E1F8A" w:rsidRPr="00D16842" w:rsidRDefault="007E1F8A" w:rsidP="005534E0">
            <w:pPr>
              <w:ind w:left="378" w:hanging="18"/>
              <w:rPr>
                <w:rFonts w:ascii="Verdana" w:eastAsia="Calibri" w:hAnsi="Verdana"/>
                <w:sz w:val="18"/>
                <w:szCs w:val="18"/>
              </w:rPr>
            </w:pPr>
            <w:r w:rsidRPr="00D16842">
              <w:rPr>
                <w:rFonts w:ascii="Verdana" w:eastAsia="Calibri" w:hAnsi="Verdana"/>
                <w:sz w:val="18"/>
                <w:szCs w:val="18"/>
              </w:rPr>
              <w:t>23.6</w:t>
            </w:r>
          </w:p>
        </w:tc>
        <w:tc>
          <w:tcPr>
            <w:tcW w:w="912" w:type="pct"/>
            <w:vAlign w:val="center"/>
          </w:tcPr>
          <w:p w14:paraId="675B5740" w14:textId="77777777" w:rsidR="007E1F8A" w:rsidRPr="00D16842" w:rsidRDefault="007E1F8A" w:rsidP="005534E0">
            <w:pPr>
              <w:ind w:left="360"/>
              <w:rPr>
                <w:rFonts w:ascii="Verdana" w:eastAsia="Calibri" w:hAnsi="Verdana"/>
                <w:sz w:val="18"/>
                <w:szCs w:val="18"/>
              </w:rPr>
            </w:pPr>
            <w:r w:rsidRPr="00D16842">
              <w:rPr>
                <w:rFonts w:ascii="Verdana" w:eastAsia="Calibri" w:hAnsi="Verdana"/>
                <w:sz w:val="18"/>
                <w:szCs w:val="18"/>
              </w:rPr>
              <w:t>35.6</w:t>
            </w:r>
          </w:p>
        </w:tc>
      </w:tr>
      <w:tr w:rsidR="007E1F8A" w:rsidRPr="00D16842" w14:paraId="409171C4" w14:textId="77777777" w:rsidTr="00D16842">
        <w:trPr>
          <w:cantSplit/>
          <w:trHeight w:val="20"/>
        </w:trPr>
        <w:tc>
          <w:tcPr>
            <w:tcW w:w="2096" w:type="pct"/>
            <w:vAlign w:val="center"/>
          </w:tcPr>
          <w:p w14:paraId="4B47E278" w14:textId="77777777" w:rsidR="007E1F8A" w:rsidRPr="00D16842" w:rsidRDefault="007E1F8A" w:rsidP="005534E0">
            <w:pPr>
              <w:ind w:left="360"/>
              <w:rPr>
                <w:rFonts w:ascii="Verdana" w:eastAsia="Calibri" w:hAnsi="Verdana"/>
                <w:sz w:val="18"/>
                <w:szCs w:val="18"/>
              </w:rPr>
            </w:pPr>
            <w:r w:rsidRPr="00D16842">
              <w:rPr>
                <w:rFonts w:ascii="Verdana" w:eastAsia="Calibri" w:hAnsi="Verdana"/>
                <w:sz w:val="18"/>
                <w:szCs w:val="18"/>
              </w:rPr>
              <w:t>Neutral</w:t>
            </w:r>
          </w:p>
        </w:tc>
        <w:tc>
          <w:tcPr>
            <w:tcW w:w="1136" w:type="pct"/>
            <w:vAlign w:val="center"/>
          </w:tcPr>
          <w:p w14:paraId="1FC7E9E4" w14:textId="77777777" w:rsidR="007E1F8A" w:rsidRPr="00D16842" w:rsidRDefault="007E1F8A" w:rsidP="005534E0">
            <w:pPr>
              <w:ind w:left="540"/>
              <w:rPr>
                <w:rFonts w:ascii="Verdana" w:eastAsia="Calibri" w:hAnsi="Verdana"/>
                <w:sz w:val="18"/>
                <w:szCs w:val="18"/>
              </w:rPr>
            </w:pPr>
            <w:r w:rsidRPr="00D16842">
              <w:rPr>
                <w:rFonts w:ascii="Verdana" w:eastAsia="Calibri" w:hAnsi="Verdana"/>
                <w:sz w:val="18"/>
                <w:szCs w:val="18"/>
              </w:rPr>
              <w:t>78</w:t>
            </w:r>
          </w:p>
        </w:tc>
        <w:tc>
          <w:tcPr>
            <w:tcW w:w="856" w:type="pct"/>
            <w:vAlign w:val="center"/>
          </w:tcPr>
          <w:p w14:paraId="53649091" w14:textId="77777777" w:rsidR="007E1F8A" w:rsidRPr="00D16842" w:rsidRDefault="007E1F8A" w:rsidP="005534E0">
            <w:pPr>
              <w:ind w:left="378" w:hanging="18"/>
              <w:rPr>
                <w:rFonts w:ascii="Verdana" w:eastAsia="Calibri" w:hAnsi="Verdana"/>
                <w:sz w:val="18"/>
                <w:szCs w:val="18"/>
              </w:rPr>
            </w:pPr>
            <w:r w:rsidRPr="00D16842">
              <w:rPr>
                <w:rFonts w:ascii="Verdana" w:eastAsia="Calibri" w:hAnsi="Verdana"/>
                <w:sz w:val="18"/>
                <w:szCs w:val="18"/>
              </w:rPr>
              <w:t>27.5</w:t>
            </w:r>
          </w:p>
        </w:tc>
        <w:tc>
          <w:tcPr>
            <w:tcW w:w="912" w:type="pct"/>
            <w:vAlign w:val="center"/>
          </w:tcPr>
          <w:p w14:paraId="540AE21E" w14:textId="77777777" w:rsidR="007E1F8A" w:rsidRPr="00D16842" w:rsidRDefault="007E1F8A" w:rsidP="005534E0">
            <w:pPr>
              <w:ind w:left="360"/>
              <w:rPr>
                <w:rFonts w:ascii="Verdana" w:eastAsia="Calibri" w:hAnsi="Verdana"/>
                <w:sz w:val="18"/>
                <w:szCs w:val="18"/>
              </w:rPr>
            </w:pPr>
            <w:r w:rsidRPr="00D16842">
              <w:rPr>
                <w:rFonts w:ascii="Verdana" w:eastAsia="Calibri" w:hAnsi="Verdana"/>
                <w:sz w:val="18"/>
                <w:szCs w:val="18"/>
              </w:rPr>
              <w:t>63.5</w:t>
            </w:r>
          </w:p>
        </w:tc>
      </w:tr>
      <w:tr w:rsidR="007E1F8A" w:rsidRPr="00D16842" w14:paraId="408A9458" w14:textId="77777777" w:rsidTr="00D16842">
        <w:trPr>
          <w:cantSplit/>
          <w:trHeight w:val="20"/>
        </w:trPr>
        <w:tc>
          <w:tcPr>
            <w:tcW w:w="2096" w:type="pct"/>
            <w:vAlign w:val="center"/>
          </w:tcPr>
          <w:p w14:paraId="26C63004" w14:textId="77777777" w:rsidR="007E1F8A" w:rsidRPr="00D16842" w:rsidRDefault="007E1F8A" w:rsidP="005534E0">
            <w:pPr>
              <w:ind w:left="360"/>
              <w:rPr>
                <w:rFonts w:ascii="Verdana" w:eastAsia="Calibri" w:hAnsi="Verdana"/>
                <w:sz w:val="18"/>
                <w:szCs w:val="18"/>
              </w:rPr>
            </w:pPr>
            <w:r w:rsidRPr="00D16842">
              <w:rPr>
                <w:rFonts w:ascii="Verdana" w:eastAsia="Calibri" w:hAnsi="Verdana"/>
                <w:sz w:val="18"/>
                <w:szCs w:val="18"/>
              </w:rPr>
              <w:t>Agree</w:t>
            </w:r>
          </w:p>
        </w:tc>
        <w:tc>
          <w:tcPr>
            <w:tcW w:w="1136" w:type="pct"/>
            <w:vAlign w:val="center"/>
          </w:tcPr>
          <w:p w14:paraId="1C2CCBB1" w14:textId="77777777" w:rsidR="007E1F8A" w:rsidRPr="00D16842" w:rsidRDefault="007E1F8A" w:rsidP="005534E0">
            <w:pPr>
              <w:ind w:left="540"/>
              <w:rPr>
                <w:rFonts w:ascii="Verdana" w:eastAsia="Calibri" w:hAnsi="Verdana"/>
                <w:sz w:val="18"/>
                <w:szCs w:val="18"/>
              </w:rPr>
            </w:pPr>
            <w:r w:rsidRPr="00D16842">
              <w:rPr>
                <w:rFonts w:ascii="Verdana" w:eastAsia="Calibri" w:hAnsi="Verdana"/>
                <w:sz w:val="18"/>
                <w:szCs w:val="18"/>
              </w:rPr>
              <w:t>81</w:t>
            </w:r>
          </w:p>
        </w:tc>
        <w:tc>
          <w:tcPr>
            <w:tcW w:w="856" w:type="pct"/>
            <w:vAlign w:val="center"/>
          </w:tcPr>
          <w:p w14:paraId="7D8F0EA7" w14:textId="77777777" w:rsidR="007E1F8A" w:rsidRPr="00D16842" w:rsidRDefault="007E1F8A" w:rsidP="005534E0">
            <w:pPr>
              <w:ind w:left="378" w:hanging="18"/>
              <w:rPr>
                <w:rFonts w:ascii="Verdana" w:eastAsia="Calibri" w:hAnsi="Verdana"/>
                <w:sz w:val="18"/>
                <w:szCs w:val="18"/>
              </w:rPr>
            </w:pPr>
            <w:r w:rsidRPr="00D16842">
              <w:rPr>
                <w:rFonts w:ascii="Verdana" w:eastAsia="Calibri" w:hAnsi="Verdana"/>
                <w:sz w:val="18"/>
                <w:szCs w:val="18"/>
              </w:rPr>
              <w:t>28.5</w:t>
            </w:r>
          </w:p>
        </w:tc>
        <w:tc>
          <w:tcPr>
            <w:tcW w:w="912" w:type="pct"/>
            <w:vAlign w:val="center"/>
          </w:tcPr>
          <w:p w14:paraId="74321633" w14:textId="77777777" w:rsidR="007E1F8A" w:rsidRPr="00D16842" w:rsidRDefault="007E1F8A" w:rsidP="005534E0">
            <w:pPr>
              <w:ind w:left="360"/>
              <w:rPr>
                <w:rFonts w:ascii="Verdana" w:eastAsia="Calibri" w:hAnsi="Verdana"/>
                <w:sz w:val="18"/>
                <w:szCs w:val="18"/>
              </w:rPr>
            </w:pPr>
            <w:r w:rsidRPr="00D16842">
              <w:rPr>
                <w:rFonts w:ascii="Verdana" w:eastAsia="Calibri" w:hAnsi="Verdana"/>
                <w:sz w:val="18"/>
                <w:szCs w:val="18"/>
              </w:rPr>
              <w:t>91.5</w:t>
            </w:r>
          </w:p>
        </w:tc>
      </w:tr>
      <w:tr w:rsidR="007E1F8A" w:rsidRPr="00D16842" w14:paraId="3D3E9975" w14:textId="77777777" w:rsidTr="00D16842">
        <w:trPr>
          <w:cantSplit/>
          <w:trHeight w:val="20"/>
        </w:trPr>
        <w:tc>
          <w:tcPr>
            <w:tcW w:w="2096" w:type="pct"/>
            <w:vAlign w:val="center"/>
          </w:tcPr>
          <w:p w14:paraId="1F69CA83" w14:textId="77777777" w:rsidR="007E1F8A" w:rsidRPr="00D16842" w:rsidRDefault="007E1F8A" w:rsidP="005534E0">
            <w:pPr>
              <w:ind w:left="360"/>
              <w:rPr>
                <w:rFonts w:ascii="Verdana" w:eastAsia="Calibri" w:hAnsi="Verdana"/>
                <w:sz w:val="18"/>
                <w:szCs w:val="18"/>
              </w:rPr>
            </w:pPr>
            <w:r w:rsidRPr="00D16842">
              <w:rPr>
                <w:rFonts w:ascii="Verdana" w:eastAsia="Calibri" w:hAnsi="Verdana"/>
                <w:sz w:val="18"/>
                <w:szCs w:val="18"/>
              </w:rPr>
              <w:t>Strongly Agree</w:t>
            </w:r>
          </w:p>
        </w:tc>
        <w:tc>
          <w:tcPr>
            <w:tcW w:w="1136" w:type="pct"/>
            <w:vAlign w:val="center"/>
          </w:tcPr>
          <w:p w14:paraId="388AD590" w14:textId="77777777" w:rsidR="007E1F8A" w:rsidRPr="00D16842" w:rsidRDefault="007E1F8A" w:rsidP="005534E0">
            <w:pPr>
              <w:ind w:left="540"/>
              <w:rPr>
                <w:rFonts w:ascii="Verdana" w:eastAsia="Calibri" w:hAnsi="Verdana"/>
                <w:sz w:val="18"/>
                <w:szCs w:val="18"/>
              </w:rPr>
            </w:pPr>
            <w:r w:rsidRPr="00D16842">
              <w:rPr>
                <w:rFonts w:ascii="Verdana" w:eastAsia="Calibri" w:hAnsi="Verdana"/>
                <w:sz w:val="18"/>
                <w:szCs w:val="18"/>
              </w:rPr>
              <w:t>24</w:t>
            </w:r>
          </w:p>
        </w:tc>
        <w:tc>
          <w:tcPr>
            <w:tcW w:w="856" w:type="pct"/>
            <w:vAlign w:val="center"/>
          </w:tcPr>
          <w:p w14:paraId="412FC436" w14:textId="77777777" w:rsidR="007E1F8A" w:rsidRPr="00D16842" w:rsidRDefault="007E1F8A" w:rsidP="005534E0">
            <w:pPr>
              <w:ind w:left="378" w:hanging="18"/>
              <w:rPr>
                <w:rFonts w:ascii="Verdana" w:eastAsia="Calibri" w:hAnsi="Verdana"/>
                <w:sz w:val="18"/>
                <w:szCs w:val="18"/>
              </w:rPr>
            </w:pPr>
            <w:r w:rsidRPr="00D16842">
              <w:rPr>
                <w:rFonts w:ascii="Verdana" w:eastAsia="Calibri" w:hAnsi="Verdana"/>
                <w:sz w:val="18"/>
                <w:szCs w:val="18"/>
              </w:rPr>
              <w:t>8.5</w:t>
            </w:r>
          </w:p>
        </w:tc>
        <w:tc>
          <w:tcPr>
            <w:tcW w:w="912" w:type="pct"/>
            <w:vAlign w:val="center"/>
          </w:tcPr>
          <w:p w14:paraId="60872FB8" w14:textId="77777777" w:rsidR="007E1F8A" w:rsidRPr="00D16842" w:rsidRDefault="007E1F8A" w:rsidP="005534E0">
            <w:pPr>
              <w:ind w:left="360"/>
              <w:rPr>
                <w:rFonts w:ascii="Verdana" w:eastAsia="Calibri" w:hAnsi="Verdana"/>
                <w:sz w:val="18"/>
                <w:szCs w:val="18"/>
              </w:rPr>
            </w:pPr>
            <w:r w:rsidRPr="00D16842">
              <w:rPr>
                <w:rFonts w:ascii="Verdana" w:eastAsia="Calibri" w:hAnsi="Verdana"/>
                <w:sz w:val="18"/>
                <w:szCs w:val="18"/>
              </w:rPr>
              <w:t>100</w:t>
            </w:r>
          </w:p>
        </w:tc>
      </w:tr>
      <w:tr w:rsidR="007E1F8A" w:rsidRPr="00D16842" w14:paraId="775895D4" w14:textId="77777777" w:rsidTr="00D16842">
        <w:trPr>
          <w:cantSplit/>
          <w:trHeight w:val="20"/>
        </w:trPr>
        <w:tc>
          <w:tcPr>
            <w:tcW w:w="2096" w:type="pct"/>
            <w:vAlign w:val="center"/>
          </w:tcPr>
          <w:p w14:paraId="259201C3" w14:textId="77777777" w:rsidR="007E1F8A" w:rsidRPr="00D16842" w:rsidRDefault="007E1F8A" w:rsidP="005534E0">
            <w:pPr>
              <w:ind w:left="360"/>
              <w:rPr>
                <w:rFonts w:ascii="Verdana" w:eastAsia="Calibri" w:hAnsi="Verdana"/>
                <w:sz w:val="18"/>
                <w:szCs w:val="18"/>
              </w:rPr>
            </w:pPr>
            <w:r w:rsidRPr="00D16842">
              <w:rPr>
                <w:rFonts w:ascii="Verdana" w:eastAsia="Calibri" w:hAnsi="Verdana"/>
                <w:sz w:val="18"/>
                <w:szCs w:val="18"/>
              </w:rPr>
              <w:t>Total</w:t>
            </w:r>
          </w:p>
        </w:tc>
        <w:tc>
          <w:tcPr>
            <w:tcW w:w="1136" w:type="pct"/>
            <w:vAlign w:val="center"/>
          </w:tcPr>
          <w:p w14:paraId="6D5A4AA9" w14:textId="77777777" w:rsidR="007E1F8A" w:rsidRPr="00D16842" w:rsidRDefault="007E1F8A" w:rsidP="005534E0">
            <w:pPr>
              <w:ind w:left="540"/>
              <w:rPr>
                <w:rFonts w:ascii="Verdana" w:eastAsia="Calibri" w:hAnsi="Verdana"/>
                <w:sz w:val="18"/>
                <w:szCs w:val="18"/>
              </w:rPr>
            </w:pPr>
            <w:r w:rsidRPr="00D16842">
              <w:rPr>
                <w:rFonts w:ascii="Verdana" w:eastAsia="Calibri" w:hAnsi="Verdana"/>
                <w:sz w:val="18"/>
                <w:szCs w:val="18"/>
              </w:rPr>
              <w:t>284</w:t>
            </w:r>
          </w:p>
        </w:tc>
        <w:tc>
          <w:tcPr>
            <w:tcW w:w="856" w:type="pct"/>
            <w:vAlign w:val="center"/>
          </w:tcPr>
          <w:p w14:paraId="3BEF37C5" w14:textId="77777777" w:rsidR="007E1F8A" w:rsidRPr="00D16842" w:rsidRDefault="007E1F8A" w:rsidP="005534E0">
            <w:pPr>
              <w:ind w:left="378" w:hanging="18"/>
              <w:rPr>
                <w:rFonts w:ascii="Verdana" w:eastAsia="Calibri" w:hAnsi="Verdana"/>
                <w:sz w:val="18"/>
                <w:szCs w:val="18"/>
              </w:rPr>
            </w:pPr>
            <w:r w:rsidRPr="00D16842">
              <w:rPr>
                <w:rFonts w:ascii="Verdana" w:eastAsia="Calibri" w:hAnsi="Verdana"/>
                <w:sz w:val="18"/>
                <w:szCs w:val="18"/>
              </w:rPr>
              <w:t>100</w:t>
            </w:r>
          </w:p>
        </w:tc>
        <w:tc>
          <w:tcPr>
            <w:tcW w:w="912" w:type="pct"/>
            <w:vAlign w:val="center"/>
          </w:tcPr>
          <w:p w14:paraId="633B5C80" w14:textId="77777777" w:rsidR="007E1F8A" w:rsidRPr="00D16842" w:rsidRDefault="007E1F8A" w:rsidP="005534E0">
            <w:pPr>
              <w:jc w:val="center"/>
              <w:rPr>
                <w:rFonts w:ascii="Verdana" w:eastAsia="Calibri" w:hAnsi="Verdana"/>
                <w:sz w:val="18"/>
                <w:szCs w:val="18"/>
              </w:rPr>
            </w:pPr>
          </w:p>
        </w:tc>
      </w:tr>
    </w:tbl>
    <w:p w14:paraId="1C78E579" w14:textId="77777777" w:rsidR="007E1F8A" w:rsidRPr="00195E39" w:rsidRDefault="007E1F8A" w:rsidP="007E1F8A">
      <w:pPr>
        <w:rPr>
          <w:rFonts w:ascii="Verdana" w:hAnsi="Verdana"/>
          <w:b/>
          <w:sz w:val="20"/>
          <w:szCs w:val="20"/>
        </w:rPr>
      </w:pPr>
    </w:p>
    <w:p w14:paraId="65080562" w14:textId="1F9649D0" w:rsidR="007E1F8A" w:rsidRDefault="007E1F8A" w:rsidP="00A60A82">
      <w:pPr>
        <w:ind w:left="0" w:firstLine="720"/>
        <w:rPr>
          <w:rFonts w:ascii="Verdana" w:hAnsi="Verdana"/>
          <w:sz w:val="20"/>
          <w:szCs w:val="20"/>
        </w:rPr>
      </w:pPr>
      <w:r w:rsidRPr="00195E39">
        <w:rPr>
          <w:rFonts w:ascii="Verdana" w:hAnsi="Verdana"/>
          <w:sz w:val="20"/>
          <w:szCs w:val="20"/>
        </w:rPr>
        <w:t xml:space="preserve">The relationship amid dependent and explanatory variables was measured through </w:t>
      </w:r>
      <w:bookmarkStart w:id="8" w:name="_Hlk135908600"/>
      <w:r w:rsidRPr="00195E39">
        <w:rPr>
          <w:rFonts w:ascii="Verdana" w:hAnsi="Verdana"/>
          <w:sz w:val="20"/>
          <w:szCs w:val="20"/>
        </w:rPr>
        <w:t>weighted least square (WLS)</w:t>
      </w:r>
      <w:bookmarkEnd w:id="8"/>
      <w:r w:rsidRPr="00195E39">
        <w:rPr>
          <w:rFonts w:ascii="Verdana" w:hAnsi="Verdana"/>
          <w:sz w:val="20"/>
          <w:szCs w:val="20"/>
        </w:rPr>
        <w:t>, an analysis method based on multiple regression. Multi variate analysis method describes the relationship of dependent variable with many explanatory variables</w:t>
      </w:r>
      <w:r w:rsidR="00892325">
        <w:rPr>
          <w:rFonts w:ascii="Verdana" w:hAnsi="Verdana"/>
          <w:sz w:val="20"/>
          <w:szCs w:val="20"/>
        </w:rPr>
        <w:t xml:space="preserve"> </w:t>
      </w:r>
      <w:r w:rsidR="003E468B">
        <w:rPr>
          <w:rFonts w:ascii="Verdana" w:hAnsi="Verdana"/>
          <w:sz w:val="20"/>
          <w:szCs w:val="20"/>
        </w:rPr>
        <w:fldChar w:fldCharType="begin"/>
      </w:r>
      <w:r w:rsidR="003E468B">
        <w:rPr>
          <w:rFonts w:ascii="Verdana" w:hAnsi="Verdana"/>
          <w:sz w:val="20"/>
          <w:szCs w:val="20"/>
        </w:rPr>
        <w:instrText xml:space="preserve"> ADDIN EN.CITE &lt;EndNote&gt;&lt;Cite&gt;&lt;Author&gt;Babbie&lt;/Author&gt;&lt;Year&gt;2020&lt;/Year&gt;&lt;RecNum&gt;53&lt;/RecNum&gt;&lt;DisplayText&gt;(Babbie, 2020)&lt;/DisplayText&gt;&lt;record&gt;&lt;rec-number&gt;53&lt;/rec-number&gt;&lt;foreign-keys&gt;&lt;key app="EN" db-id="v5ve2td2jxzxrxee0pdpwrv99fpre2frs20r" timestamp="1703963050"&gt;53&lt;/key&gt;&lt;/foreign-keys&gt;&lt;ref-type name="Book"&gt;6&lt;/ref-type&gt;&lt;contributors&gt;&lt;authors&gt;&lt;author&gt;Babbie, Earl R&lt;/author&gt;&lt;/authors&gt;&lt;/contributors&gt;&lt;titles&gt;&lt;title&gt;The practice of social research&lt;/title&gt;&lt;/titles&gt;&lt;dates&gt;&lt;year&gt;2020&lt;/year&gt;&lt;/dates&gt;&lt;publisher&gt;Cengage AU&lt;/publisher&gt;&lt;isbn&gt;0357360761&lt;/isbn&gt;&lt;urls&gt;&lt;/urls&gt;&lt;/record&gt;&lt;/Cite&gt;&lt;/EndNote&gt;</w:instrText>
      </w:r>
      <w:r w:rsidR="003E468B">
        <w:rPr>
          <w:rFonts w:ascii="Verdana" w:hAnsi="Verdana"/>
          <w:sz w:val="20"/>
          <w:szCs w:val="20"/>
        </w:rPr>
        <w:fldChar w:fldCharType="separate"/>
      </w:r>
      <w:r w:rsidR="003E468B">
        <w:rPr>
          <w:rFonts w:ascii="Verdana" w:hAnsi="Verdana"/>
          <w:noProof/>
          <w:sz w:val="20"/>
          <w:szCs w:val="20"/>
        </w:rPr>
        <w:t>(</w:t>
      </w:r>
      <w:hyperlink w:anchor="_ENREF_7" w:tooltip="Babbie, 2020 #53" w:history="1">
        <w:r w:rsidR="004372FE">
          <w:rPr>
            <w:rFonts w:ascii="Verdana" w:hAnsi="Verdana"/>
            <w:noProof/>
            <w:sz w:val="20"/>
            <w:szCs w:val="20"/>
          </w:rPr>
          <w:t>Babbie, 2020</w:t>
        </w:r>
      </w:hyperlink>
      <w:r w:rsidR="003E468B">
        <w:rPr>
          <w:rFonts w:ascii="Verdana" w:hAnsi="Verdana"/>
          <w:noProof/>
          <w:sz w:val="20"/>
          <w:szCs w:val="20"/>
        </w:rPr>
        <w:t>)</w:t>
      </w:r>
      <w:r w:rsidR="003E468B">
        <w:rPr>
          <w:rFonts w:ascii="Verdana" w:hAnsi="Verdana"/>
          <w:sz w:val="20"/>
          <w:szCs w:val="20"/>
        </w:rPr>
        <w:fldChar w:fldCharType="end"/>
      </w:r>
      <w:r w:rsidR="003E468B">
        <w:rPr>
          <w:rFonts w:ascii="Verdana" w:hAnsi="Verdana"/>
          <w:sz w:val="20"/>
          <w:szCs w:val="20"/>
        </w:rPr>
        <w:t xml:space="preserve">. </w:t>
      </w:r>
      <w:r w:rsidRPr="00195E39">
        <w:rPr>
          <w:rFonts w:ascii="Verdana" w:hAnsi="Verdana"/>
          <w:sz w:val="20"/>
          <w:szCs w:val="20"/>
        </w:rPr>
        <w:t>Its ranks the links amid variables</w:t>
      </w:r>
      <w:r w:rsidR="002D5C6B">
        <w:rPr>
          <w:rFonts w:ascii="Verdana" w:hAnsi="Verdana"/>
          <w:sz w:val="20"/>
          <w:szCs w:val="20"/>
        </w:rPr>
        <w:t xml:space="preserve"> </w:t>
      </w:r>
      <w:r w:rsidR="002D5C6B">
        <w:rPr>
          <w:rFonts w:ascii="Verdana" w:hAnsi="Verdana"/>
          <w:sz w:val="20"/>
          <w:szCs w:val="20"/>
        </w:rPr>
        <w:fldChar w:fldCharType="begin"/>
      </w:r>
      <w:r w:rsidR="002D5C6B">
        <w:rPr>
          <w:rFonts w:ascii="Verdana" w:hAnsi="Verdana"/>
          <w:sz w:val="20"/>
          <w:szCs w:val="20"/>
        </w:rPr>
        <w:instrText xml:space="preserve"> ADDIN EN.CITE &lt;EndNote&gt;&lt;Cite&gt;&lt;Author&gt;Babbie&lt;/Author&gt;&lt;Year&gt;2020&lt;/Year&gt;&lt;RecNum&gt;53&lt;/RecNum&gt;&lt;DisplayText&gt;(Babbie, 2020)&lt;/DisplayText&gt;&lt;record&gt;&lt;rec-number&gt;53&lt;/rec-number&gt;&lt;foreign-keys&gt;&lt;key app="EN" db-id="v5ve2td2jxzxrxee0pdpwrv99fpre2frs20r" timestamp="1703963050"&gt;53&lt;/key&gt;&lt;/foreign-keys&gt;&lt;ref-type name="Book"&gt;6&lt;/ref-type&gt;&lt;contributors&gt;&lt;authors&gt;&lt;author&gt;Babbie, Earl R&lt;/author&gt;&lt;/authors&gt;&lt;/contributors&gt;&lt;titles&gt;&lt;title&gt;The practice of social research&lt;/title&gt;&lt;/titles&gt;&lt;dates&gt;&lt;year&gt;2020&lt;/year&gt;&lt;/dates&gt;&lt;publisher&gt;Cengage AU&lt;/publisher&gt;&lt;isbn&gt;0357360761&lt;/isbn&gt;&lt;urls&gt;&lt;/urls&gt;&lt;/record&gt;&lt;/Cite&gt;&lt;/EndNote&gt;</w:instrText>
      </w:r>
      <w:r w:rsidR="002D5C6B">
        <w:rPr>
          <w:rFonts w:ascii="Verdana" w:hAnsi="Verdana"/>
          <w:sz w:val="20"/>
          <w:szCs w:val="20"/>
        </w:rPr>
        <w:fldChar w:fldCharType="separate"/>
      </w:r>
      <w:r w:rsidR="002D5C6B">
        <w:rPr>
          <w:rFonts w:ascii="Verdana" w:hAnsi="Verdana"/>
          <w:noProof/>
          <w:sz w:val="20"/>
          <w:szCs w:val="20"/>
        </w:rPr>
        <w:t>(</w:t>
      </w:r>
      <w:hyperlink w:anchor="_ENREF_7" w:tooltip="Babbie, 2020 #53" w:history="1">
        <w:r w:rsidR="004372FE">
          <w:rPr>
            <w:rFonts w:ascii="Verdana" w:hAnsi="Verdana"/>
            <w:noProof/>
            <w:sz w:val="20"/>
            <w:szCs w:val="20"/>
          </w:rPr>
          <w:t>Babbie, 2020</w:t>
        </w:r>
      </w:hyperlink>
      <w:r w:rsidR="002D5C6B">
        <w:rPr>
          <w:rFonts w:ascii="Verdana" w:hAnsi="Verdana"/>
          <w:noProof/>
          <w:sz w:val="20"/>
          <w:szCs w:val="20"/>
        </w:rPr>
        <w:t>)</w:t>
      </w:r>
      <w:r w:rsidR="002D5C6B">
        <w:rPr>
          <w:rFonts w:ascii="Verdana" w:hAnsi="Verdana"/>
          <w:sz w:val="20"/>
          <w:szCs w:val="20"/>
        </w:rPr>
        <w:fldChar w:fldCharType="end"/>
      </w:r>
      <w:r w:rsidR="002D5C6B">
        <w:rPr>
          <w:rFonts w:ascii="Verdana" w:hAnsi="Verdana"/>
          <w:sz w:val="20"/>
          <w:szCs w:val="20"/>
        </w:rPr>
        <w:t>.</w:t>
      </w:r>
    </w:p>
    <w:p w14:paraId="3446E3AB" w14:textId="77777777" w:rsidR="00A76E7B" w:rsidRDefault="00A76E7B" w:rsidP="00A76E7B">
      <w:pPr>
        <w:ind w:left="0" w:firstLine="720"/>
        <w:rPr>
          <w:rFonts w:ascii="Verdana" w:hAnsi="Verdana"/>
          <w:sz w:val="20"/>
          <w:szCs w:val="20"/>
        </w:rPr>
      </w:pPr>
    </w:p>
    <w:p w14:paraId="7FC363CE" w14:textId="1E98F5FC" w:rsidR="007E1F8A" w:rsidRPr="00A76E7B" w:rsidRDefault="007E1F8A" w:rsidP="00A76E7B">
      <w:pPr>
        <w:pStyle w:val="ListParagraph"/>
        <w:numPr>
          <w:ilvl w:val="1"/>
          <w:numId w:val="39"/>
        </w:numPr>
        <w:ind w:hanging="720"/>
        <w:rPr>
          <w:rFonts w:ascii="Verdana" w:hAnsi="Verdana"/>
          <w:b/>
          <w:sz w:val="22"/>
          <w:szCs w:val="22"/>
        </w:rPr>
      </w:pPr>
      <w:r w:rsidRPr="00A76E7B">
        <w:rPr>
          <w:rFonts w:ascii="Verdana" w:hAnsi="Verdana"/>
          <w:b/>
          <w:sz w:val="22"/>
          <w:szCs w:val="22"/>
        </w:rPr>
        <w:lastRenderedPageBreak/>
        <w:t>Empirical Results</w:t>
      </w:r>
    </w:p>
    <w:p w14:paraId="5ACC7A5C" w14:textId="77777777" w:rsidR="00A76E7B" w:rsidRDefault="00A76E7B" w:rsidP="00A76E7B">
      <w:pPr>
        <w:ind w:left="0" w:firstLine="720"/>
        <w:rPr>
          <w:rFonts w:ascii="Verdana" w:hAnsi="Verdana"/>
          <w:sz w:val="20"/>
          <w:szCs w:val="20"/>
        </w:rPr>
      </w:pPr>
    </w:p>
    <w:p w14:paraId="05D8C290" w14:textId="31DF33A1" w:rsidR="007E1F8A" w:rsidRDefault="007E1F8A" w:rsidP="00A76E7B">
      <w:pPr>
        <w:ind w:left="0" w:firstLine="720"/>
        <w:rPr>
          <w:rFonts w:ascii="Verdana" w:hAnsi="Verdana"/>
          <w:sz w:val="20"/>
          <w:szCs w:val="20"/>
        </w:rPr>
      </w:pPr>
      <w:r w:rsidRPr="00195E39">
        <w:rPr>
          <w:rFonts w:ascii="Verdana" w:hAnsi="Verdana"/>
          <w:sz w:val="20"/>
          <w:szCs w:val="20"/>
        </w:rPr>
        <w:t xml:space="preserve">In this section we analyzed the data gathered, descriptive as well as inferential statics were applied in order to check the trends and result of the data collected. OLS was opted to check the relationship between the dependent and explanatory variables although due to heteroscedasticity in data set WLS were used instead of OLS. </w:t>
      </w:r>
    </w:p>
    <w:p w14:paraId="2DF8A3FF" w14:textId="77777777" w:rsidR="00A76E7B" w:rsidRPr="00195E39" w:rsidRDefault="00A76E7B" w:rsidP="00A76E7B">
      <w:pPr>
        <w:ind w:left="0" w:firstLine="720"/>
        <w:rPr>
          <w:rFonts w:ascii="Verdana" w:hAnsi="Verdana"/>
          <w:sz w:val="20"/>
          <w:szCs w:val="20"/>
        </w:rPr>
      </w:pPr>
    </w:p>
    <w:p w14:paraId="67ACB101" w14:textId="418A48D8" w:rsidR="007E1F8A" w:rsidRPr="00A76E7B" w:rsidRDefault="007E1F8A" w:rsidP="00A76E7B">
      <w:pPr>
        <w:pStyle w:val="ListParagraph"/>
        <w:numPr>
          <w:ilvl w:val="2"/>
          <w:numId w:val="42"/>
        </w:numPr>
        <w:ind w:left="709"/>
        <w:rPr>
          <w:rFonts w:ascii="Verdana" w:hAnsi="Verdana"/>
          <w:b/>
          <w:sz w:val="22"/>
          <w:szCs w:val="22"/>
        </w:rPr>
      </w:pPr>
      <w:r w:rsidRPr="00A76E7B">
        <w:rPr>
          <w:rFonts w:ascii="Verdana" w:hAnsi="Verdana"/>
          <w:b/>
          <w:sz w:val="22"/>
          <w:szCs w:val="22"/>
        </w:rPr>
        <w:t xml:space="preserve">Diagnostic </w:t>
      </w:r>
      <w:r w:rsidR="00A76E7B" w:rsidRPr="00A76E7B">
        <w:rPr>
          <w:rFonts w:ascii="Verdana" w:hAnsi="Verdana"/>
          <w:b/>
          <w:sz w:val="22"/>
          <w:szCs w:val="22"/>
        </w:rPr>
        <w:t>T</w:t>
      </w:r>
      <w:r w:rsidRPr="00A76E7B">
        <w:rPr>
          <w:rFonts w:ascii="Verdana" w:hAnsi="Verdana"/>
          <w:b/>
          <w:sz w:val="22"/>
          <w:szCs w:val="22"/>
        </w:rPr>
        <w:t xml:space="preserve">est   </w:t>
      </w:r>
    </w:p>
    <w:p w14:paraId="25274B26" w14:textId="77777777" w:rsidR="00A76E7B" w:rsidRDefault="00A76E7B" w:rsidP="00A76E7B">
      <w:pPr>
        <w:ind w:left="0" w:firstLine="720"/>
        <w:rPr>
          <w:rFonts w:ascii="Verdana" w:hAnsi="Verdana"/>
          <w:sz w:val="20"/>
          <w:szCs w:val="20"/>
        </w:rPr>
      </w:pPr>
    </w:p>
    <w:p w14:paraId="670F5106" w14:textId="27709595" w:rsidR="007E1F8A" w:rsidRDefault="007E1F8A" w:rsidP="00A76E7B">
      <w:pPr>
        <w:ind w:left="0" w:firstLine="720"/>
        <w:rPr>
          <w:rFonts w:ascii="Verdana" w:hAnsi="Verdana"/>
          <w:sz w:val="20"/>
          <w:szCs w:val="20"/>
        </w:rPr>
      </w:pPr>
      <w:r w:rsidRPr="00195E39">
        <w:rPr>
          <w:rFonts w:ascii="Verdana" w:hAnsi="Verdana"/>
          <w:sz w:val="20"/>
          <w:szCs w:val="20"/>
        </w:rPr>
        <w:t>Before applying the data were checked through following diagnostic statics to check whether the applied model will provide consistent result.</w:t>
      </w:r>
    </w:p>
    <w:p w14:paraId="51FF8D2B" w14:textId="77777777" w:rsidR="00A76E7B" w:rsidRPr="00195E39" w:rsidRDefault="00A76E7B" w:rsidP="00A76E7B">
      <w:pPr>
        <w:ind w:left="0" w:firstLine="720"/>
        <w:rPr>
          <w:rFonts w:ascii="Verdana" w:hAnsi="Verdana"/>
          <w:sz w:val="20"/>
          <w:szCs w:val="20"/>
        </w:rPr>
      </w:pPr>
    </w:p>
    <w:p w14:paraId="51A42EF7" w14:textId="77777777" w:rsidR="007E1F8A" w:rsidRPr="00A76E7B" w:rsidRDefault="007E1F8A" w:rsidP="00A76E7B">
      <w:pPr>
        <w:pStyle w:val="ListParagraph"/>
        <w:numPr>
          <w:ilvl w:val="2"/>
          <w:numId w:val="42"/>
        </w:numPr>
        <w:ind w:left="709"/>
        <w:rPr>
          <w:rFonts w:ascii="Verdana" w:hAnsi="Verdana"/>
          <w:b/>
          <w:sz w:val="22"/>
          <w:szCs w:val="22"/>
        </w:rPr>
      </w:pPr>
      <w:r w:rsidRPr="00A76E7B">
        <w:rPr>
          <w:rFonts w:ascii="Verdana" w:hAnsi="Verdana"/>
          <w:b/>
          <w:sz w:val="22"/>
          <w:szCs w:val="22"/>
        </w:rPr>
        <w:t>Test of Homoscedasticity and Heteroscedasticity</w:t>
      </w:r>
    </w:p>
    <w:p w14:paraId="177A93AF" w14:textId="77777777" w:rsidR="00A76E7B" w:rsidRDefault="00A76E7B" w:rsidP="00A76E7B">
      <w:pPr>
        <w:ind w:left="0" w:firstLine="720"/>
        <w:rPr>
          <w:rFonts w:ascii="Verdana" w:hAnsi="Verdana"/>
          <w:sz w:val="20"/>
          <w:szCs w:val="20"/>
        </w:rPr>
      </w:pPr>
    </w:p>
    <w:p w14:paraId="22AAA721" w14:textId="62FCCE13" w:rsidR="007E1F8A" w:rsidRPr="00195E39" w:rsidRDefault="007E1F8A" w:rsidP="00A76E7B">
      <w:pPr>
        <w:ind w:left="0" w:firstLine="720"/>
        <w:rPr>
          <w:rFonts w:ascii="Verdana" w:hAnsi="Verdana"/>
          <w:sz w:val="20"/>
          <w:szCs w:val="20"/>
        </w:rPr>
      </w:pPr>
      <w:r w:rsidRPr="00195E39">
        <w:rPr>
          <w:rFonts w:ascii="Verdana" w:hAnsi="Verdana"/>
          <w:sz w:val="20"/>
          <w:szCs w:val="20"/>
        </w:rPr>
        <w:t xml:space="preserve">Bartlett’s test was used to diagnose if the variance of the two or more groups are equal (homoscedastic) or unequal (heteroscedastic). The P value in our case is greater than threshold value hence the data is pointing heteroscedasticity. Hence, the assumption of homogeneity is violated. Similarly, Breusch-Pagan test was used to measure the degree of heteroscedasticity the P-Value of the provided test is very low and justify the Null hypothesis of the test.  </w:t>
      </w:r>
    </w:p>
    <w:p w14:paraId="5BE89417" w14:textId="77777777" w:rsidR="00A76E7B" w:rsidRDefault="00A76E7B" w:rsidP="007E1F8A">
      <w:pPr>
        <w:pStyle w:val="HTMLPreformatted"/>
        <w:shd w:val="clear" w:color="auto" w:fill="FFFFFF"/>
        <w:textAlignment w:val="baseline"/>
        <w:rPr>
          <w:rFonts w:ascii="Verdana" w:hAnsi="Verdana" w:cs="Times New Roman"/>
          <w:b/>
          <w:bCs/>
          <w:color w:val="000000"/>
        </w:rPr>
      </w:pPr>
      <w:bookmarkStart w:id="9" w:name="_Hlk135910658"/>
    </w:p>
    <w:p w14:paraId="07DA57F6" w14:textId="54805FD0" w:rsidR="007E1F8A" w:rsidRPr="00195E39" w:rsidRDefault="007E1F8A" w:rsidP="007E1F8A">
      <w:pPr>
        <w:pStyle w:val="HTMLPreformatted"/>
        <w:shd w:val="clear" w:color="auto" w:fill="FFFFFF"/>
        <w:textAlignment w:val="baseline"/>
        <w:rPr>
          <w:rFonts w:ascii="Verdana" w:hAnsi="Verdana" w:cs="Times New Roman"/>
          <w:b/>
          <w:bCs/>
          <w:color w:val="000000"/>
        </w:rPr>
      </w:pPr>
      <w:r w:rsidRPr="00195E39">
        <w:rPr>
          <w:rFonts w:ascii="Verdana" w:hAnsi="Verdana" w:cs="Times New Roman"/>
          <w:b/>
          <w:bCs/>
          <w:color w:val="000000"/>
        </w:rPr>
        <w:t>Table 8.</w:t>
      </w:r>
    </w:p>
    <w:p w14:paraId="5E6D29F8" w14:textId="048614EB" w:rsidR="007E1F8A" w:rsidRPr="00A76E7B" w:rsidRDefault="007E1F8A" w:rsidP="007E1F8A">
      <w:pPr>
        <w:pStyle w:val="HTMLPreformatted"/>
        <w:shd w:val="clear" w:color="auto" w:fill="FFFFFF"/>
        <w:textAlignment w:val="baseline"/>
        <w:rPr>
          <w:rFonts w:ascii="Verdana" w:hAnsi="Verdana" w:cs="Times New Roman"/>
          <w:b/>
          <w:bCs/>
          <w:i/>
          <w:iCs/>
          <w:color w:val="000000"/>
        </w:rPr>
      </w:pPr>
      <w:r w:rsidRPr="00A76E7B">
        <w:rPr>
          <w:rFonts w:ascii="Verdana" w:hAnsi="Verdana" w:cs="Times New Roman"/>
          <w:b/>
          <w:bCs/>
          <w:i/>
          <w:iCs/>
          <w:color w:val="000000"/>
        </w:rPr>
        <w:t>Bartlett Test of Homoscedasticity and Breusch-Pagan Test Results.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5"/>
        <w:gridCol w:w="2042"/>
        <w:gridCol w:w="2321"/>
        <w:gridCol w:w="2988"/>
      </w:tblGrid>
      <w:tr w:rsidR="007E1F8A" w:rsidRPr="00A76E7B" w14:paraId="2563F9D2" w14:textId="77777777" w:rsidTr="00A76E7B">
        <w:trPr>
          <w:cantSplit/>
          <w:trHeight w:val="20"/>
        </w:trPr>
        <w:tc>
          <w:tcPr>
            <w:tcW w:w="2312" w:type="pct"/>
            <w:gridSpan w:val="2"/>
            <w:tcBorders>
              <w:top w:val="single" w:sz="4" w:space="0" w:color="auto"/>
              <w:bottom w:val="single" w:sz="4" w:space="0" w:color="auto"/>
            </w:tcBorders>
          </w:tcPr>
          <w:bookmarkEnd w:id="9"/>
          <w:p w14:paraId="3C321A34" w14:textId="26DD37B1" w:rsidR="007E1F8A" w:rsidRPr="00A76E7B" w:rsidRDefault="007E1F8A" w:rsidP="00A76E7B">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textAlignment w:val="baseline"/>
              <w:rPr>
                <w:rFonts w:ascii="Verdana" w:hAnsi="Verdana"/>
                <w:b/>
                <w:bCs/>
                <w:sz w:val="18"/>
                <w:szCs w:val="18"/>
              </w:rPr>
            </w:pPr>
            <w:r w:rsidRPr="00A76E7B">
              <w:rPr>
                <w:rFonts w:ascii="Verdana" w:hAnsi="Verdana"/>
                <w:b/>
                <w:bCs/>
                <w:sz w:val="18"/>
                <w:szCs w:val="18"/>
              </w:rPr>
              <w:t>Bartlett Statistic</w:t>
            </w:r>
          </w:p>
        </w:tc>
        <w:tc>
          <w:tcPr>
            <w:tcW w:w="2688" w:type="pct"/>
            <w:gridSpan w:val="2"/>
            <w:tcBorders>
              <w:top w:val="single" w:sz="4" w:space="0" w:color="auto"/>
              <w:bottom w:val="single" w:sz="4" w:space="0" w:color="auto"/>
            </w:tcBorders>
          </w:tcPr>
          <w:p w14:paraId="692401BF" w14:textId="77777777" w:rsidR="007E1F8A" w:rsidRPr="00A76E7B" w:rsidRDefault="007E1F8A" w:rsidP="00A76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textAlignment w:val="baseline"/>
              <w:rPr>
                <w:rFonts w:ascii="Verdana" w:hAnsi="Verdana"/>
                <w:b/>
                <w:bCs/>
                <w:sz w:val="18"/>
                <w:szCs w:val="18"/>
              </w:rPr>
            </w:pPr>
            <w:r w:rsidRPr="00A76E7B">
              <w:rPr>
                <w:rFonts w:ascii="Verdana" w:hAnsi="Verdana"/>
                <w:b/>
                <w:bCs/>
                <w:sz w:val="18"/>
                <w:szCs w:val="18"/>
              </w:rPr>
              <w:t>Breusch-Pagan Test</w:t>
            </w:r>
          </w:p>
        </w:tc>
      </w:tr>
      <w:tr w:rsidR="007E1F8A" w:rsidRPr="00A76E7B" w14:paraId="7748E534" w14:textId="77777777" w:rsidTr="00A76E7B">
        <w:trPr>
          <w:trHeight w:val="20"/>
        </w:trPr>
        <w:tc>
          <w:tcPr>
            <w:tcW w:w="1278" w:type="pct"/>
            <w:tcBorders>
              <w:top w:val="single" w:sz="4" w:space="0" w:color="auto"/>
            </w:tcBorders>
          </w:tcPr>
          <w:p w14:paraId="0773A351" w14:textId="77777777" w:rsidR="007E1F8A" w:rsidRPr="00A76E7B" w:rsidRDefault="007E1F8A" w:rsidP="00A76E7B">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Verdana" w:hAnsi="Verdana"/>
                <w:sz w:val="18"/>
                <w:szCs w:val="18"/>
              </w:rPr>
            </w:pPr>
            <w:r w:rsidRPr="00A76E7B">
              <w:rPr>
                <w:rFonts w:ascii="Verdana" w:hAnsi="Verdana"/>
                <w:sz w:val="18"/>
                <w:szCs w:val="18"/>
              </w:rPr>
              <w:t>Test statistics</w:t>
            </w:r>
          </w:p>
        </w:tc>
        <w:tc>
          <w:tcPr>
            <w:tcW w:w="1034" w:type="pct"/>
            <w:tcBorders>
              <w:top w:val="single" w:sz="4" w:space="0" w:color="auto"/>
            </w:tcBorders>
          </w:tcPr>
          <w:p w14:paraId="7A4D0C7A" w14:textId="77777777" w:rsidR="007E1F8A" w:rsidRPr="00A76E7B" w:rsidRDefault="007E1F8A" w:rsidP="00A76E7B">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2"/>
              <w:jc w:val="left"/>
              <w:textAlignment w:val="baseline"/>
              <w:rPr>
                <w:rFonts w:ascii="Verdana" w:hAnsi="Verdana"/>
                <w:sz w:val="18"/>
                <w:szCs w:val="18"/>
              </w:rPr>
            </w:pPr>
            <w:r w:rsidRPr="00A76E7B">
              <w:rPr>
                <w:rFonts w:ascii="Verdana" w:hAnsi="Verdana"/>
                <w:sz w:val="18"/>
                <w:szCs w:val="18"/>
              </w:rPr>
              <w:t>1.259</w:t>
            </w:r>
          </w:p>
        </w:tc>
        <w:tc>
          <w:tcPr>
            <w:tcW w:w="1175" w:type="pct"/>
            <w:tcBorders>
              <w:top w:val="single" w:sz="4" w:space="0" w:color="auto"/>
            </w:tcBorders>
          </w:tcPr>
          <w:p w14:paraId="78E48B0B" w14:textId="77777777" w:rsidR="007E1F8A" w:rsidRPr="00A76E7B" w:rsidRDefault="007E1F8A" w:rsidP="00A76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2"/>
              <w:jc w:val="left"/>
              <w:textAlignment w:val="baseline"/>
              <w:rPr>
                <w:rFonts w:ascii="Verdana" w:hAnsi="Verdana"/>
                <w:sz w:val="18"/>
                <w:szCs w:val="18"/>
              </w:rPr>
            </w:pPr>
            <w:r w:rsidRPr="00A76E7B">
              <w:rPr>
                <w:rFonts w:ascii="Verdana" w:hAnsi="Verdana"/>
                <w:sz w:val="18"/>
                <w:szCs w:val="18"/>
              </w:rPr>
              <w:t>Test statistic</w:t>
            </w:r>
          </w:p>
        </w:tc>
        <w:tc>
          <w:tcPr>
            <w:tcW w:w="1513" w:type="pct"/>
            <w:tcBorders>
              <w:top w:val="single" w:sz="4" w:space="0" w:color="auto"/>
            </w:tcBorders>
          </w:tcPr>
          <w:p w14:paraId="72B72665" w14:textId="77777777" w:rsidR="007E1F8A" w:rsidRPr="00A76E7B" w:rsidRDefault="007E1F8A" w:rsidP="00A76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6"/>
              <w:jc w:val="left"/>
              <w:textAlignment w:val="baseline"/>
              <w:rPr>
                <w:rFonts w:ascii="Verdana" w:hAnsi="Verdana"/>
                <w:sz w:val="18"/>
                <w:szCs w:val="18"/>
              </w:rPr>
            </w:pPr>
            <w:r w:rsidRPr="00A76E7B">
              <w:rPr>
                <w:rFonts w:ascii="Verdana" w:hAnsi="Verdana"/>
                <w:sz w:val="18"/>
                <w:szCs w:val="18"/>
              </w:rPr>
              <w:t>138.77</w:t>
            </w:r>
          </w:p>
        </w:tc>
      </w:tr>
      <w:tr w:rsidR="007E1F8A" w:rsidRPr="00A76E7B" w14:paraId="290D872D" w14:textId="77777777" w:rsidTr="00A76E7B">
        <w:trPr>
          <w:trHeight w:val="20"/>
        </w:trPr>
        <w:tc>
          <w:tcPr>
            <w:tcW w:w="1278" w:type="pct"/>
          </w:tcPr>
          <w:p w14:paraId="428DE71D" w14:textId="77777777" w:rsidR="007E1F8A" w:rsidRPr="00A76E7B" w:rsidRDefault="007E1F8A" w:rsidP="00A76E7B">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textAlignment w:val="baseline"/>
              <w:rPr>
                <w:rFonts w:ascii="Verdana" w:hAnsi="Verdana"/>
                <w:sz w:val="18"/>
                <w:szCs w:val="18"/>
              </w:rPr>
            </w:pPr>
            <w:r w:rsidRPr="00A76E7B">
              <w:rPr>
                <w:rFonts w:ascii="Verdana" w:hAnsi="Verdana"/>
                <w:sz w:val="18"/>
                <w:szCs w:val="18"/>
              </w:rPr>
              <w:t xml:space="preserve">  P-value</w:t>
            </w:r>
          </w:p>
        </w:tc>
        <w:tc>
          <w:tcPr>
            <w:tcW w:w="1034" w:type="pct"/>
          </w:tcPr>
          <w:p w14:paraId="58E81AAD" w14:textId="77777777" w:rsidR="007E1F8A" w:rsidRPr="00A76E7B" w:rsidRDefault="007E1F8A" w:rsidP="00A76E7B">
            <w:pPr>
              <w:shd w:val="clear" w:color="auto" w:fill="FFFFFF"/>
              <w:tabs>
                <w:tab w:val="left" w:pos="9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2"/>
              <w:jc w:val="left"/>
              <w:textAlignment w:val="baseline"/>
              <w:rPr>
                <w:rFonts w:ascii="Verdana" w:hAnsi="Verdana"/>
                <w:sz w:val="18"/>
                <w:szCs w:val="18"/>
              </w:rPr>
            </w:pPr>
            <w:r w:rsidRPr="00A76E7B">
              <w:rPr>
                <w:rFonts w:ascii="Verdana" w:hAnsi="Verdana"/>
                <w:sz w:val="18"/>
                <w:szCs w:val="18"/>
              </w:rPr>
              <w:t>0.739</w:t>
            </w:r>
          </w:p>
        </w:tc>
        <w:tc>
          <w:tcPr>
            <w:tcW w:w="1175" w:type="pct"/>
          </w:tcPr>
          <w:p w14:paraId="5B544234" w14:textId="77777777" w:rsidR="007E1F8A" w:rsidRPr="00A76E7B" w:rsidRDefault="007E1F8A" w:rsidP="00A76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2"/>
              <w:jc w:val="left"/>
              <w:textAlignment w:val="baseline"/>
              <w:rPr>
                <w:rFonts w:ascii="Verdana" w:hAnsi="Verdana"/>
                <w:sz w:val="18"/>
                <w:szCs w:val="18"/>
              </w:rPr>
            </w:pPr>
            <w:r w:rsidRPr="00A76E7B">
              <w:rPr>
                <w:rFonts w:ascii="Verdana" w:hAnsi="Verdana"/>
                <w:sz w:val="18"/>
                <w:szCs w:val="18"/>
              </w:rPr>
              <w:t>P-value</w:t>
            </w:r>
          </w:p>
        </w:tc>
        <w:tc>
          <w:tcPr>
            <w:tcW w:w="1513" w:type="pct"/>
          </w:tcPr>
          <w:p w14:paraId="4A7C992F" w14:textId="77777777" w:rsidR="007E1F8A" w:rsidRPr="00A76E7B" w:rsidRDefault="007E1F8A" w:rsidP="00A76E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6"/>
              <w:jc w:val="left"/>
              <w:textAlignment w:val="baseline"/>
              <w:rPr>
                <w:rFonts w:ascii="Verdana" w:hAnsi="Verdana"/>
                <w:sz w:val="18"/>
                <w:szCs w:val="18"/>
              </w:rPr>
            </w:pPr>
            <w:r w:rsidRPr="00A76E7B">
              <w:rPr>
                <w:rFonts w:ascii="Verdana" w:hAnsi="Verdana"/>
                <w:sz w:val="18"/>
                <w:szCs w:val="18"/>
              </w:rPr>
              <w:t>1.813e-27</w:t>
            </w:r>
          </w:p>
        </w:tc>
      </w:tr>
    </w:tbl>
    <w:p w14:paraId="6650E10F" w14:textId="77777777" w:rsidR="007E1F8A" w:rsidRPr="00195E39" w:rsidRDefault="007E1F8A" w:rsidP="007E1F8A">
      <w:pPr>
        <w:pStyle w:val="ListParagraph"/>
        <w:ind w:left="2160"/>
        <w:rPr>
          <w:rFonts w:ascii="Verdana" w:hAnsi="Verdana"/>
          <w:b/>
          <w:sz w:val="20"/>
          <w:szCs w:val="20"/>
        </w:rPr>
      </w:pPr>
    </w:p>
    <w:p w14:paraId="47D6E50D" w14:textId="77777777" w:rsidR="007E1F8A" w:rsidRPr="00A76E7B" w:rsidRDefault="007E1F8A" w:rsidP="00A76E7B">
      <w:pPr>
        <w:pStyle w:val="ListParagraph"/>
        <w:numPr>
          <w:ilvl w:val="2"/>
          <w:numId w:val="42"/>
        </w:numPr>
        <w:ind w:left="709"/>
        <w:rPr>
          <w:rFonts w:ascii="Verdana" w:hAnsi="Verdana"/>
          <w:b/>
          <w:sz w:val="22"/>
          <w:szCs w:val="22"/>
        </w:rPr>
      </w:pPr>
      <w:r w:rsidRPr="00A76E7B">
        <w:rPr>
          <w:rFonts w:ascii="Verdana" w:hAnsi="Verdana"/>
          <w:b/>
          <w:sz w:val="22"/>
          <w:szCs w:val="22"/>
        </w:rPr>
        <w:t>Collinearity Diagnosis</w:t>
      </w:r>
    </w:p>
    <w:p w14:paraId="3395556C" w14:textId="77777777" w:rsidR="00A76E7B" w:rsidRDefault="00A76E7B" w:rsidP="00A76E7B">
      <w:pPr>
        <w:ind w:left="0" w:firstLine="709"/>
        <w:rPr>
          <w:rFonts w:ascii="Verdana" w:hAnsi="Verdana"/>
          <w:sz w:val="20"/>
          <w:szCs w:val="20"/>
        </w:rPr>
      </w:pPr>
    </w:p>
    <w:p w14:paraId="1A1DED15" w14:textId="1DF83C42" w:rsidR="007E1F8A" w:rsidRPr="00195E39" w:rsidRDefault="007E1F8A" w:rsidP="00A76E7B">
      <w:pPr>
        <w:ind w:left="0" w:firstLine="709"/>
        <w:rPr>
          <w:rFonts w:ascii="Verdana" w:hAnsi="Verdana"/>
          <w:sz w:val="20"/>
          <w:szCs w:val="20"/>
        </w:rPr>
      </w:pPr>
      <w:r w:rsidRPr="00195E39">
        <w:rPr>
          <w:rFonts w:ascii="Verdana" w:hAnsi="Verdana"/>
          <w:sz w:val="20"/>
          <w:szCs w:val="20"/>
        </w:rPr>
        <w:t xml:space="preserve">For </w:t>
      </w:r>
      <w:r w:rsidR="00A76E7B" w:rsidRPr="00195E39">
        <w:rPr>
          <w:rFonts w:ascii="Verdana" w:hAnsi="Verdana"/>
          <w:sz w:val="20"/>
          <w:szCs w:val="20"/>
        </w:rPr>
        <w:t>multicollinearity</w:t>
      </w:r>
      <w:r w:rsidRPr="00195E39">
        <w:rPr>
          <w:rFonts w:ascii="Verdana" w:hAnsi="Verdana"/>
          <w:sz w:val="20"/>
          <w:szCs w:val="20"/>
        </w:rPr>
        <w:t xml:space="preserve"> VIF was used the value of the test for each variable is less than threshold value of 5, indicating weak </w:t>
      </w:r>
      <w:r w:rsidR="00A76E7B" w:rsidRPr="00195E39">
        <w:rPr>
          <w:rFonts w:ascii="Verdana" w:hAnsi="Verdana"/>
          <w:sz w:val="20"/>
          <w:szCs w:val="20"/>
        </w:rPr>
        <w:t>multicollinearity</w:t>
      </w:r>
      <w:r w:rsidRPr="00195E39">
        <w:rPr>
          <w:rFonts w:ascii="Verdana" w:hAnsi="Verdana"/>
          <w:sz w:val="20"/>
          <w:szCs w:val="20"/>
        </w:rPr>
        <w:t xml:space="preserve">. </w:t>
      </w:r>
    </w:p>
    <w:p w14:paraId="5ECD5558" w14:textId="77777777" w:rsidR="00A76E7B" w:rsidRDefault="00A76E7B" w:rsidP="007E1F8A">
      <w:pPr>
        <w:rPr>
          <w:rFonts w:ascii="Verdana" w:hAnsi="Verdana"/>
          <w:b/>
          <w:bCs/>
          <w:sz w:val="20"/>
          <w:szCs w:val="20"/>
        </w:rPr>
      </w:pPr>
      <w:bookmarkStart w:id="10" w:name="_Hlk135910689"/>
    </w:p>
    <w:p w14:paraId="091CEB71" w14:textId="572C6FE4" w:rsidR="007E1F8A" w:rsidRPr="00195E39" w:rsidRDefault="007E1F8A" w:rsidP="007E1F8A">
      <w:pPr>
        <w:rPr>
          <w:rFonts w:ascii="Verdana" w:hAnsi="Verdana"/>
          <w:sz w:val="20"/>
          <w:szCs w:val="20"/>
        </w:rPr>
      </w:pPr>
      <w:r w:rsidRPr="00195E39">
        <w:rPr>
          <w:rFonts w:ascii="Verdana" w:hAnsi="Verdana"/>
          <w:b/>
          <w:bCs/>
          <w:sz w:val="20"/>
          <w:szCs w:val="20"/>
        </w:rPr>
        <w:t>Table 9.</w:t>
      </w:r>
      <w:r w:rsidRPr="00195E39">
        <w:rPr>
          <w:rFonts w:ascii="Verdana" w:hAnsi="Verdana"/>
          <w:sz w:val="20"/>
          <w:szCs w:val="20"/>
        </w:rPr>
        <w:t xml:space="preserve"> </w:t>
      </w:r>
      <w:bookmarkStart w:id="11" w:name="_Hlk135909062"/>
    </w:p>
    <w:p w14:paraId="3580F2FE" w14:textId="2AAF9837" w:rsidR="007E1F8A" w:rsidRPr="00A76E7B" w:rsidRDefault="007E1F8A" w:rsidP="007E1F8A">
      <w:pPr>
        <w:rPr>
          <w:rFonts w:ascii="Verdana" w:hAnsi="Verdana"/>
          <w:b/>
          <w:bCs/>
          <w:i/>
          <w:iCs/>
          <w:sz w:val="20"/>
          <w:szCs w:val="20"/>
        </w:rPr>
      </w:pPr>
      <w:r w:rsidRPr="00A76E7B">
        <w:rPr>
          <w:rFonts w:ascii="Verdana" w:hAnsi="Verdana"/>
          <w:b/>
          <w:bCs/>
          <w:i/>
          <w:iCs/>
          <w:sz w:val="20"/>
          <w:szCs w:val="20"/>
        </w:rPr>
        <w:t xml:space="preserve">Variance </w:t>
      </w:r>
      <w:r w:rsidR="00A76E7B">
        <w:rPr>
          <w:rFonts w:ascii="Verdana" w:hAnsi="Verdana"/>
          <w:b/>
          <w:bCs/>
          <w:i/>
          <w:iCs/>
          <w:sz w:val="20"/>
          <w:szCs w:val="20"/>
        </w:rPr>
        <w:t>I</w:t>
      </w:r>
      <w:r w:rsidRPr="00A76E7B">
        <w:rPr>
          <w:rFonts w:ascii="Verdana" w:hAnsi="Verdana"/>
          <w:b/>
          <w:bCs/>
          <w:i/>
          <w:iCs/>
          <w:sz w:val="20"/>
          <w:szCs w:val="20"/>
        </w:rPr>
        <w:t xml:space="preserve">nflation </w:t>
      </w:r>
      <w:r w:rsidR="00A76E7B">
        <w:rPr>
          <w:rFonts w:ascii="Verdana" w:hAnsi="Verdana"/>
          <w:b/>
          <w:bCs/>
          <w:i/>
          <w:iCs/>
          <w:sz w:val="20"/>
          <w:szCs w:val="20"/>
        </w:rPr>
        <w:t>F</w:t>
      </w:r>
      <w:r w:rsidRPr="00A76E7B">
        <w:rPr>
          <w:rFonts w:ascii="Verdana" w:hAnsi="Verdana"/>
          <w:b/>
          <w:bCs/>
          <w:i/>
          <w:iCs/>
          <w:sz w:val="20"/>
          <w:szCs w:val="20"/>
        </w:rPr>
        <w:t>actor</w:t>
      </w:r>
      <w:bookmarkEnd w:id="11"/>
    </w:p>
    <w:tbl>
      <w:tblPr>
        <w:tblpPr w:leftFromText="180" w:rightFromText="180" w:vertAnchor="text" w:tblpY="1"/>
        <w:tblOverlap w:val="never"/>
        <w:tblW w:w="4988" w:type="pct"/>
        <w:tblBorders>
          <w:top w:val="single" w:sz="4" w:space="0" w:color="auto"/>
          <w:bottom w:val="single" w:sz="4" w:space="0" w:color="auto"/>
        </w:tblBorders>
        <w:tblCellMar>
          <w:left w:w="0" w:type="dxa"/>
          <w:right w:w="0" w:type="dxa"/>
        </w:tblCellMar>
        <w:tblLook w:val="0000" w:firstRow="0" w:lastRow="0" w:firstColumn="0" w:lastColumn="0" w:noHBand="0" w:noVBand="0"/>
      </w:tblPr>
      <w:tblGrid>
        <w:gridCol w:w="4232"/>
        <w:gridCol w:w="40"/>
        <w:gridCol w:w="2486"/>
        <w:gridCol w:w="40"/>
        <w:gridCol w:w="2799"/>
        <w:gridCol w:w="40"/>
      </w:tblGrid>
      <w:tr w:rsidR="00AB0A13" w:rsidRPr="00A76E7B" w14:paraId="34A1D9D8" w14:textId="77777777" w:rsidTr="00AB0A13">
        <w:trPr>
          <w:cantSplit/>
          <w:trHeight w:val="20"/>
        </w:trPr>
        <w:tc>
          <w:tcPr>
            <w:tcW w:w="2216" w:type="pct"/>
            <w:gridSpan w:val="2"/>
            <w:vMerge w:val="restart"/>
            <w:tcBorders>
              <w:top w:val="single" w:sz="4" w:space="0" w:color="auto"/>
              <w:bottom w:val="nil"/>
            </w:tcBorders>
            <w:shd w:val="clear" w:color="auto" w:fill="FFFFFF"/>
            <w:vAlign w:val="center"/>
          </w:tcPr>
          <w:bookmarkEnd w:id="10"/>
          <w:p w14:paraId="379FB000" w14:textId="77777777" w:rsidR="00AB0A13" w:rsidRPr="00A76E7B" w:rsidRDefault="00AB0A13" w:rsidP="00AB0A13">
            <w:pPr>
              <w:autoSpaceDE w:val="0"/>
              <w:autoSpaceDN w:val="0"/>
              <w:adjustRightInd w:val="0"/>
              <w:ind w:left="264" w:right="60"/>
              <w:rPr>
                <w:rFonts w:ascii="Verdana" w:eastAsia="Calibri" w:hAnsi="Verdana"/>
                <w:b/>
                <w:bCs/>
                <w:sz w:val="18"/>
                <w:szCs w:val="18"/>
              </w:rPr>
            </w:pPr>
            <w:r w:rsidRPr="00A76E7B">
              <w:rPr>
                <w:rFonts w:ascii="Verdana" w:eastAsia="Calibri" w:hAnsi="Verdana"/>
                <w:b/>
                <w:bCs/>
                <w:sz w:val="18"/>
                <w:szCs w:val="18"/>
              </w:rPr>
              <w:t>Model</w:t>
            </w:r>
          </w:p>
        </w:tc>
        <w:tc>
          <w:tcPr>
            <w:tcW w:w="2784" w:type="pct"/>
            <w:gridSpan w:val="4"/>
            <w:tcBorders>
              <w:top w:val="single" w:sz="4" w:space="0" w:color="auto"/>
              <w:bottom w:val="nil"/>
            </w:tcBorders>
            <w:shd w:val="clear" w:color="auto" w:fill="FFFFFF"/>
            <w:vAlign w:val="center"/>
          </w:tcPr>
          <w:p w14:paraId="042FB0E4" w14:textId="77777777" w:rsidR="00AB0A13" w:rsidRPr="00A76E7B" w:rsidRDefault="00AB0A13" w:rsidP="00AB0A13">
            <w:pPr>
              <w:autoSpaceDE w:val="0"/>
              <w:autoSpaceDN w:val="0"/>
              <w:adjustRightInd w:val="0"/>
              <w:ind w:left="378" w:right="60"/>
              <w:rPr>
                <w:rFonts w:ascii="Verdana" w:eastAsia="Calibri" w:hAnsi="Verdana"/>
                <w:b/>
                <w:bCs/>
                <w:sz w:val="18"/>
                <w:szCs w:val="18"/>
                <w:u w:val="single"/>
              </w:rPr>
            </w:pPr>
            <w:r w:rsidRPr="00A76E7B">
              <w:rPr>
                <w:rFonts w:ascii="Verdana" w:eastAsia="Calibri" w:hAnsi="Verdana"/>
                <w:b/>
                <w:bCs/>
                <w:sz w:val="18"/>
                <w:szCs w:val="18"/>
              </w:rPr>
              <w:t xml:space="preserve">     </w:t>
            </w:r>
            <w:r w:rsidRPr="00A76E7B">
              <w:rPr>
                <w:rFonts w:ascii="Verdana" w:eastAsia="Calibri" w:hAnsi="Verdana"/>
                <w:b/>
                <w:bCs/>
                <w:sz w:val="18"/>
                <w:szCs w:val="18"/>
                <w:u w:val="single"/>
              </w:rPr>
              <w:t xml:space="preserve">            Collinearity Statistics_  </w:t>
            </w:r>
          </w:p>
        </w:tc>
      </w:tr>
      <w:tr w:rsidR="00AB0A13" w:rsidRPr="00A76E7B" w14:paraId="6FF0AD33" w14:textId="77777777" w:rsidTr="00AB0A13">
        <w:trPr>
          <w:cantSplit/>
          <w:trHeight w:val="20"/>
        </w:trPr>
        <w:tc>
          <w:tcPr>
            <w:tcW w:w="2216" w:type="pct"/>
            <w:gridSpan w:val="2"/>
            <w:vMerge/>
            <w:tcBorders>
              <w:top w:val="nil"/>
              <w:bottom w:val="single" w:sz="4" w:space="0" w:color="auto"/>
            </w:tcBorders>
            <w:shd w:val="clear" w:color="auto" w:fill="FFFFFF"/>
            <w:vAlign w:val="center"/>
          </w:tcPr>
          <w:p w14:paraId="402F0418" w14:textId="77777777" w:rsidR="00AB0A13" w:rsidRPr="00A76E7B" w:rsidRDefault="00AB0A13" w:rsidP="00AB0A13">
            <w:pPr>
              <w:autoSpaceDE w:val="0"/>
              <w:autoSpaceDN w:val="0"/>
              <w:adjustRightInd w:val="0"/>
              <w:rPr>
                <w:rFonts w:ascii="Verdana" w:eastAsia="Calibri" w:hAnsi="Verdana"/>
                <w:b/>
                <w:bCs/>
                <w:sz w:val="18"/>
                <w:szCs w:val="18"/>
              </w:rPr>
            </w:pPr>
          </w:p>
        </w:tc>
        <w:tc>
          <w:tcPr>
            <w:tcW w:w="1311" w:type="pct"/>
            <w:gridSpan w:val="2"/>
            <w:tcBorders>
              <w:top w:val="nil"/>
              <w:bottom w:val="single" w:sz="4" w:space="0" w:color="auto"/>
            </w:tcBorders>
            <w:shd w:val="clear" w:color="auto" w:fill="FFFFFF"/>
            <w:vAlign w:val="center"/>
          </w:tcPr>
          <w:p w14:paraId="66BCD147" w14:textId="77777777" w:rsidR="00AB0A13" w:rsidRPr="00A76E7B" w:rsidRDefault="00AB0A13" w:rsidP="00AB0A13">
            <w:pPr>
              <w:autoSpaceDE w:val="0"/>
              <w:autoSpaceDN w:val="0"/>
              <w:adjustRightInd w:val="0"/>
              <w:ind w:left="60" w:right="60"/>
              <w:jc w:val="center"/>
              <w:rPr>
                <w:rFonts w:ascii="Verdana" w:eastAsia="Calibri" w:hAnsi="Verdana"/>
                <w:b/>
                <w:bCs/>
                <w:sz w:val="18"/>
                <w:szCs w:val="18"/>
              </w:rPr>
            </w:pPr>
            <w:r w:rsidRPr="00A76E7B">
              <w:rPr>
                <w:rFonts w:ascii="Verdana" w:eastAsia="Calibri" w:hAnsi="Verdana"/>
                <w:b/>
                <w:bCs/>
                <w:sz w:val="18"/>
                <w:szCs w:val="18"/>
              </w:rPr>
              <w:t>Tolerance</w:t>
            </w:r>
          </w:p>
        </w:tc>
        <w:tc>
          <w:tcPr>
            <w:tcW w:w="1473" w:type="pct"/>
            <w:gridSpan w:val="2"/>
            <w:tcBorders>
              <w:top w:val="nil"/>
              <w:bottom w:val="single" w:sz="4" w:space="0" w:color="auto"/>
            </w:tcBorders>
            <w:shd w:val="clear" w:color="auto" w:fill="FFFFFF"/>
            <w:vAlign w:val="center"/>
          </w:tcPr>
          <w:p w14:paraId="74B57259" w14:textId="77777777" w:rsidR="00AB0A13" w:rsidRPr="00A76E7B" w:rsidRDefault="00AB0A13" w:rsidP="00AB0A13">
            <w:pPr>
              <w:autoSpaceDE w:val="0"/>
              <w:autoSpaceDN w:val="0"/>
              <w:adjustRightInd w:val="0"/>
              <w:ind w:left="60" w:right="60"/>
              <w:jc w:val="center"/>
              <w:rPr>
                <w:rFonts w:ascii="Verdana" w:eastAsia="Calibri" w:hAnsi="Verdana"/>
                <w:b/>
                <w:bCs/>
                <w:sz w:val="18"/>
                <w:szCs w:val="18"/>
              </w:rPr>
            </w:pPr>
            <w:r w:rsidRPr="00A76E7B">
              <w:rPr>
                <w:rFonts w:ascii="Verdana" w:eastAsia="Calibri" w:hAnsi="Verdana"/>
                <w:b/>
                <w:bCs/>
                <w:sz w:val="18"/>
                <w:szCs w:val="18"/>
              </w:rPr>
              <w:t>VIF</w:t>
            </w:r>
          </w:p>
        </w:tc>
      </w:tr>
      <w:tr w:rsidR="00AB0A13" w:rsidRPr="00A76E7B" w14:paraId="52752A4F" w14:textId="77777777" w:rsidTr="00AB0A13">
        <w:trPr>
          <w:gridAfter w:val="1"/>
          <w:wAfter w:w="41" w:type="dxa"/>
          <w:cantSplit/>
          <w:trHeight w:val="20"/>
        </w:trPr>
        <w:tc>
          <w:tcPr>
            <w:tcW w:w="2195" w:type="pct"/>
            <w:shd w:val="clear" w:color="auto" w:fill="FFFFFF"/>
            <w:vAlign w:val="center"/>
          </w:tcPr>
          <w:p w14:paraId="7F317AE1" w14:textId="77777777" w:rsidR="00AB0A13" w:rsidRPr="00A76E7B" w:rsidRDefault="00AB0A13" w:rsidP="00AB0A13">
            <w:pPr>
              <w:autoSpaceDE w:val="0"/>
              <w:autoSpaceDN w:val="0"/>
              <w:adjustRightInd w:val="0"/>
              <w:ind w:left="0" w:right="60" w:firstLine="0"/>
              <w:rPr>
                <w:rFonts w:ascii="Verdana" w:eastAsia="Calibri" w:hAnsi="Verdana"/>
                <w:sz w:val="18"/>
                <w:szCs w:val="18"/>
              </w:rPr>
            </w:pPr>
            <w:r w:rsidRPr="00A76E7B">
              <w:rPr>
                <w:rFonts w:ascii="Verdana" w:eastAsia="Calibri" w:hAnsi="Verdana"/>
                <w:sz w:val="18"/>
                <w:szCs w:val="18"/>
              </w:rPr>
              <w:t>(Constant)</w:t>
            </w:r>
          </w:p>
        </w:tc>
        <w:tc>
          <w:tcPr>
            <w:tcW w:w="1311" w:type="pct"/>
            <w:gridSpan w:val="2"/>
            <w:shd w:val="clear" w:color="auto" w:fill="FFFFFF"/>
            <w:vAlign w:val="center"/>
          </w:tcPr>
          <w:p w14:paraId="28440599" w14:textId="77777777" w:rsidR="00AB0A13" w:rsidRPr="00A76E7B" w:rsidRDefault="00AB0A13" w:rsidP="00AB0A13">
            <w:pPr>
              <w:autoSpaceDE w:val="0"/>
              <w:autoSpaceDN w:val="0"/>
              <w:adjustRightInd w:val="0"/>
              <w:jc w:val="center"/>
              <w:rPr>
                <w:rFonts w:ascii="Verdana" w:eastAsia="Calibri" w:hAnsi="Verdana"/>
                <w:sz w:val="18"/>
                <w:szCs w:val="18"/>
              </w:rPr>
            </w:pPr>
          </w:p>
        </w:tc>
        <w:tc>
          <w:tcPr>
            <w:tcW w:w="1473" w:type="pct"/>
            <w:gridSpan w:val="2"/>
            <w:shd w:val="clear" w:color="auto" w:fill="FFFFFF"/>
            <w:vAlign w:val="center"/>
          </w:tcPr>
          <w:p w14:paraId="54977BCC" w14:textId="77777777" w:rsidR="00AB0A13" w:rsidRPr="00A76E7B" w:rsidRDefault="00AB0A13" w:rsidP="00AB0A13">
            <w:pPr>
              <w:autoSpaceDE w:val="0"/>
              <w:autoSpaceDN w:val="0"/>
              <w:adjustRightInd w:val="0"/>
              <w:jc w:val="center"/>
              <w:rPr>
                <w:rFonts w:ascii="Verdana" w:eastAsia="Calibri" w:hAnsi="Verdana"/>
                <w:sz w:val="18"/>
                <w:szCs w:val="18"/>
              </w:rPr>
            </w:pPr>
          </w:p>
        </w:tc>
      </w:tr>
      <w:tr w:rsidR="00AB0A13" w:rsidRPr="00A76E7B" w14:paraId="7E794A77" w14:textId="77777777" w:rsidTr="00AB0A13">
        <w:trPr>
          <w:gridAfter w:val="1"/>
          <w:wAfter w:w="41" w:type="dxa"/>
          <w:cantSplit/>
          <w:trHeight w:val="20"/>
        </w:trPr>
        <w:tc>
          <w:tcPr>
            <w:tcW w:w="2195" w:type="pct"/>
            <w:shd w:val="clear" w:color="auto" w:fill="FFFFFF"/>
            <w:vAlign w:val="center"/>
          </w:tcPr>
          <w:p w14:paraId="73E4F36F" w14:textId="77777777" w:rsidR="00AB0A13" w:rsidRPr="00A76E7B" w:rsidRDefault="00AB0A13" w:rsidP="00AB0A13">
            <w:pPr>
              <w:autoSpaceDE w:val="0"/>
              <w:autoSpaceDN w:val="0"/>
              <w:adjustRightInd w:val="0"/>
              <w:ind w:left="0" w:right="60" w:firstLine="0"/>
              <w:rPr>
                <w:rFonts w:ascii="Verdana" w:eastAsia="Calibri" w:hAnsi="Verdana"/>
                <w:sz w:val="18"/>
                <w:szCs w:val="18"/>
              </w:rPr>
            </w:pPr>
            <w:r w:rsidRPr="00A76E7B">
              <w:rPr>
                <w:rFonts w:ascii="Verdana" w:eastAsia="Calibri" w:hAnsi="Verdana"/>
                <w:sz w:val="18"/>
                <w:szCs w:val="18"/>
              </w:rPr>
              <w:t>Extroversion</w:t>
            </w:r>
          </w:p>
        </w:tc>
        <w:tc>
          <w:tcPr>
            <w:tcW w:w="1311" w:type="pct"/>
            <w:gridSpan w:val="2"/>
            <w:shd w:val="clear" w:color="auto" w:fill="FFFFFF"/>
            <w:vAlign w:val="center"/>
          </w:tcPr>
          <w:p w14:paraId="315BE841" w14:textId="77777777" w:rsidR="00AB0A13" w:rsidRPr="00A76E7B" w:rsidRDefault="00AB0A13" w:rsidP="00AB0A13">
            <w:pPr>
              <w:autoSpaceDE w:val="0"/>
              <w:autoSpaceDN w:val="0"/>
              <w:adjustRightInd w:val="0"/>
              <w:ind w:left="834" w:right="60"/>
              <w:rPr>
                <w:rFonts w:ascii="Verdana" w:eastAsia="Calibri" w:hAnsi="Verdana"/>
                <w:sz w:val="18"/>
                <w:szCs w:val="18"/>
              </w:rPr>
            </w:pPr>
            <w:r w:rsidRPr="00A76E7B">
              <w:rPr>
                <w:rFonts w:ascii="Verdana" w:eastAsia="Calibri" w:hAnsi="Verdana"/>
                <w:sz w:val="18"/>
                <w:szCs w:val="18"/>
              </w:rPr>
              <w:t>.807</w:t>
            </w:r>
          </w:p>
        </w:tc>
        <w:tc>
          <w:tcPr>
            <w:tcW w:w="1473" w:type="pct"/>
            <w:gridSpan w:val="2"/>
            <w:shd w:val="clear" w:color="auto" w:fill="FFFFFF"/>
            <w:vAlign w:val="center"/>
          </w:tcPr>
          <w:p w14:paraId="2DE9D411" w14:textId="77777777" w:rsidR="00AB0A13" w:rsidRPr="00A76E7B" w:rsidRDefault="00AB0A13" w:rsidP="00AB0A13">
            <w:pPr>
              <w:autoSpaceDE w:val="0"/>
              <w:autoSpaceDN w:val="0"/>
              <w:adjustRightInd w:val="0"/>
              <w:ind w:left="846" w:right="60"/>
              <w:rPr>
                <w:rFonts w:ascii="Verdana" w:eastAsia="Calibri" w:hAnsi="Verdana"/>
                <w:sz w:val="18"/>
                <w:szCs w:val="18"/>
              </w:rPr>
            </w:pPr>
            <w:r w:rsidRPr="00A76E7B">
              <w:rPr>
                <w:rFonts w:ascii="Verdana" w:eastAsia="Calibri" w:hAnsi="Verdana"/>
                <w:sz w:val="18"/>
                <w:szCs w:val="18"/>
              </w:rPr>
              <w:t>1.239</w:t>
            </w:r>
          </w:p>
        </w:tc>
      </w:tr>
      <w:tr w:rsidR="00AB0A13" w:rsidRPr="00A76E7B" w14:paraId="655FB381" w14:textId="77777777" w:rsidTr="00AB0A13">
        <w:trPr>
          <w:gridAfter w:val="1"/>
          <w:wAfter w:w="41" w:type="dxa"/>
          <w:cantSplit/>
          <w:trHeight w:val="20"/>
        </w:trPr>
        <w:tc>
          <w:tcPr>
            <w:tcW w:w="2195" w:type="pct"/>
            <w:shd w:val="clear" w:color="auto" w:fill="FFFFFF"/>
            <w:vAlign w:val="center"/>
          </w:tcPr>
          <w:p w14:paraId="0E2AC393" w14:textId="77777777" w:rsidR="00AB0A13" w:rsidRPr="00A76E7B" w:rsidRDefault="00AB0A13" w:rsidP="00AB0A13">
            <w:pPr>
              <w:autoSpaceDE w:val="0"/>
              <w:autoSpaceDN w:val="0"/>
              <w:adjustRightInd w:val="0"/>
              <w:ind w:left="0" w:right="60" w:firstLine="0"/>
              <w:rPr>
                <w:rFonts w:ascii="Verdana" w:eastAsia="Calibri" w:hAnsi="Verdana"/>
                <w:sz w:val="18"/>
                <w:szCs w:val="18"/>
              </w:rPr>
            </w:pPr>
            <w:r w:rsidRPr="00A76E7B">
              <w:rPr>
                <w:rFonts w:ascii="Verdana" w:eastAsia="Calibri" w:hAnsi="Verdana"/>
                <w:sz w:val="18"/>
                <w:szCs w:val="18"/>
              </w:rPr>
              <w:t>Openness To Experience</w:t>
            </w:r>
          </w:p>
        </w:tc>
        <w:tc>
          <w:tcPr>
            <w:tcW w:w="1311" w:type="pct"/>
            <w:gridSpan w:val="2"/>
            <w:shd w:val="clear" w:color="auto" w:fill="FFFFFF"/>
            <w:vAlign w:val="center"/>
          </w:tcPr>
          <w:p w14:paraId="199D9A1F" w14:textId="77777777" w:rsidR="00AB0A13" w:rsidRPr="00A76E7B" w:rsidRDefault="00AB0A13" w:rsidP="00AB0A13">
            <w:pPr>
              <w:autoSpaceDE w:val="0"/>
              <w:autoSpaceDN w:val="0"/>
              <w:adjustRightInd w:val="0"/>
              <w:ind w:left="834" w:right="60"/>
              <w:rPr>
                <w:rFonts w:ascii="Verdana" w:eastAsia="Calibri" w:hAnsi="Verdana"/>
                <w:sz w:val="18"/>
                <w:szCs w:val="18"/>
              </w:rPr>
            </w:pPr>
            <w:r w:rsidRPr="00A76E7B">
              <w:rPr>
                <w:rFonts w:ascii="Verdana" w:eastAsia="Calibri" w:hAnsi="Verdana"/>
                <w:sz w:val="18"/>
                <w:szCs w:val="18"/>
              </w:rPr>
              <w:t>.762</w:t>
            </w:r>
          </w:p>
        </w:tc>
        <w:tc>
          <w:tcPr>
            <w:tcW w:w="1473" w:type="pct"/>
            <w:gridSpan w:val="2"/>
            <w:shd w:val="clear" w:color="auto" w:fill="FFFFFF"/>
            <w:vAlign w:val="center"/>
          </w:tcPr>
          <w:p w14:paraId="4E2E682F" w14:textId="77777777" w:rsidR="00AB0A13" w:rsidRPr="00A76E7B" w:rsidRDefault="00AB0A13" w:rsidP="00AB0A13">
            <w:pPr>
              <w:autoSpaceDE w:val="0"/>
              <w:autoSpaceDN w:val="0"/>
              <w:adjustRightInd w:val="0"/>
              <w:ind w:left="846" w:right="60"/>
              <w:rPr>
                <w:rFonts w:ascii="Verdana" w:eastAsia="Calibri" w:hAnsi="Verdana"/>
                <w:sz w:val="18"/>
                <w:szCs w:val="18"/>
              </w:rPr>
            </w:pPr>
            <w:r w:rsidRPr="00A76E7B">
              <w:rPr>
                <w:rFonts w:ascii="Verdana" w:eastAsia="Calibri" w:hAnsi="Verdana"/>
                <w:sz w:val="18"/>
                <w:szCs w:val="18"/>
              </w:rPr>
              <w:t>1.312</w:t>
            </w:r>
          </w:p>
        </w:tc>
      </w:tr>
      <w:tr w:rsidR="00AB0A13" w:rsidRPr="00A76E7B" w14:paraId="2B8CA836" w14:textId="77777777" w:rsidTr="00AB0A13">
        <w:trPr>
          <w:gridAfter w:val="1"/>
          <w:wAfter w:w="41" w:type="dxa"/>
          <w:cantSplit/>
          <w:trHeight w:val="20"/>
        </w:trPr>
        <w:tc>
          <w:tcPr>
            <w:tcW w:w="2195" w:type="pct"/>
            <w:shd w:val="clear" w:color="auto" w:fill="FFFFFF"/>
            <w:vAlign w:val="center"/>
          </w:tcPr>
          <w:p w14:paraId="2376534D" w14:textId="77777777" w:rsidR="00AB0A13" w:rsidRPr="00A76E7B" w:rsidRDefault="00AB0A13" w:rsidP="00AB0A13">
            <w:pPr>
              <w:autoSpaceDE w:val="0"/>
              <w:autoSpaceDN w:val="0"/>
              <w:adjustRightInd w:val="0"/>
              <w:ind w:left="0" w:right="60" w:firstLine="0"/>
              <w:rPr>
                <w:rFonts w:ascii="Verdana" w:eastAsia="Calibri" w:hAnsi="Verdana"/>
                <w:sz w:val="18"/>
                <w:szCs w:val="18"/>
              </w:rPr>
            </w:pPr>
            <w:r w:rsidRPr="00A76E7B">
              <w:rPr>
                <w:rFonts w:ascii="Verdana" w:eastAsia="Calibri" w:hAnsi="Verdana"/>
                <w:sz w:val="18"/>
                <w:szCs w:val="18"/>
              </w:rPr>
              <w:t>Agreeableness</w:t>
            </w:r>
          </w:p>
        </w:tc>
        <w:tc>
          <w:tcPr>
            <w:tcW w:w="1311" w:type="pct"/>
            <w:gridSpan w:val="2"/>
            <w:shd w:val="clear" w:color="auto" w:fill="FFFFFF"/>
            <w:vAlign w:val="center"/>
          </w:tcPr>
          <w:p w14:paraId="0D6678FB" w14:textId="77777777" w:rsidR="00AB0A13" w:rsidRPr="00A76E7B" w:rsidRDefault="00AB0A13" w:rsidP="00AB0A13">
            <w:pPr>
              <w:autoSpaceDE w:val="0"/>
              <w:autoSpaceDN w:val="0"/>
              <w:adjustRightInd w:val="0"/>
              <w:ind w:left="834" w:right="60"/>
              <w:rPr>
                <w:rFonts w:ascii="Verdana" w:eastAsia="Calibri" w:hAnsi="Verdana"/>
                <w:sz w:val="18"/>
                <w:szCs w:val="18"/>
              </w:rPr>
            </w:pPr>
            <w:r w:rsidRPr="00A76E7B">
              <w:rPr>
                <w:rFonts w:ascii="Verdana" w:eastAsia="Calibri" w:hAnsi="Verdana"/>
                <w:sz w:val="18"/>
                <w:szCs w:val="18"/>
              </w:rPr>
              <w:t>.876</w:t>
            </w:r>
          </w:p>
        </w:tc>
        <w:tc>
          <w:tcPr>
            <w:tcW w:w="1473" w:type="pct"/>
            <w:gridSpan w:val="2"/>
            <w:shd w:val="clear" w:color="auto" w:fill="FFFFFF"/>
            <w:vAlign w:val="center"/>
          </w:tcPr>
          <w:p w14:paraId="2F3BFE04" w14:textId="77777777" w:rsidR="00AB0A13" w:rsidRPr="00A76E7B" w:rsidRDefault="00AB0A13" w:rsidP="00AB0A13">
            <w:pPr>
              <w:autoSpaceDE w:val="0"/>
              <w:autoSpaceDN w:val="0"/>
              <w:adjustRightInd w:val="0"/>
              <w:ind w:left="846" w:right="60"/>
              <w:rPr>
                <w:rFonts w:ascii="Verdana" w:eastAsia="Calibri" w:hAnsi="Verdana"/>
                <w:sz w:val="18"/>
                <w:szCs w:val="18"/>
              </w:rPr>
            </w:pPr>
            <w:r w:rsidRPr="00A76E7B">
              <w:rPr>
                <w:rFonts w:ascii="Verdana" w:eastAsia="Calibri" w:hAnsi="Verdana"/>
                <w:sz w:val="18"/>
                <w:szCs w:val="18"/>
              </w:rPr>
              <w:t>1.142</w:t>
            </w:r>
          </w:p>
        </w:tc>
      </w:tr>
      <w:tr w:rsidR="00AB0A13" w:rsidRPr="00A76E7B" w14:paraId="3C64F1CC" w14:textId="77777777" w:rsidTr="00AB0A13">
        <w:trPr>
          <w:gridAfter w:val="1"/>
          <w:wAfter w:w="41" w:type="dxa"/>
          <w:cantSplit/>
          <w:trHeight w:val="20"/>
        </w:trPr>
        <w:tc>
          <w:tcPr>
            <w:tcW w:w="2195" w:type="pct"/>
            <w:shd w:val="clear" w:color="auto" w:fill="FFFFFF"/>
            <w:vAlign w:val="center"/>
          </w:tcPr>
          <w:p w14:paraId="4E1DE167" w14:textId="77777777" w:rsidR="00AB0A13" w:rsidRPr="00A76E7B" w:rsidRDefault="00AB0A13" w:rsidP="00AB0A13">
            <w:pPr>
              <w:autoSpaceDE w:val="0"/>
              <w:autoSpaceDN w:val="0"/>
              <w:adjustRightInd w:val="0"/>
              <w:ind w:left="0" w:right="60" w:firstLine="0"/>
              <w:rPr>
                <w:rFonts w:ascii="Verdana" w:eastAsia="Calibri" w:hAnsi="Verdana"/>
                <w:sz w:val="18"/>
                <w:szCs w:val="18"/>
              </w:rPr>
            </w:pPr>
            <w:r w:rsidRPr="00A76E7B">
              <w:rPr>
                <w:rFonts w:ascii="Verdana" w:eastAsia="Calibri" w:hAnsi="Verdana"/>
                <w:sz w:val="18"/>
                <w:szCs w:val="18"/>
              </w:rPr>
              <w:t>Conscientiousness</w:t>
            </w:r>
          </w:p>
        </w:tc>
        <w:tc>
          <w:tcPr>
            <w:tcW w:w="1311" w:type="pct"/>
            <w:gridSpan w:val="2"/>
            <w:shd w:val="clear" w:color="auto" w:fill="FFFFFF"/>
            <w:vAlign w:val="center"/>
          </w:tcPr>
          <w:p w14:paraId="6B5D18B0" w14:textId="77777777" w:rsidR="00AB0A13" w:rsidRPr="00A76E7B" w:rsidRDefault="00AB0A13" w:rsidP="00AB0A13">
            <w:pPr>
              <w:autoSpaceDE w:val="0"/>
              <w:autoSpaceDN w:val="0"/>
              <w:adjustRightInd w:val="0"/>
              <w:ind w:left="834" w:right="60"/>
              <w:rPr>
                <w:rFonts w:ascii="Verdana" w:eastAsia="Calibri" w:hAnsi="Verdana"/>
                <w:sz w:val="18"/>
                <w:szCs w:val="18"/>
              </w:rPr>
            </w:pPr>
            <w:r w:rsidRPr="00A76E7B">
              <w:rPr>
                <w:rFonts w:ascii="Verdana" w:eastAsia="Calibri" w:hAnsi="Verdana"/>
                <w:sz w:val="18"/>
                <w:szCs w:val="18"/>
              </w:rPr>
              <w:t>.763</w:t>
            </w:r>
          </w:p>
        </w:tc>
        <w:tc>
          <w:tcPr>
            <w:tcW w:w="1473" w:type="pct"/>
            <w:gridSpan w:val="2"/>
            <w:shd w:val="clear" w:color="auto" w:fill="FFFFFF"/>
            <w:vAlign w:val="center"/>
          </w:tcPr>
          <w:p w14:paraId="6D8903D5" w14:textId="77777777" w:rsidR="00AB0A13" w:rsidRPr="00A76E7B" w:rsidRDefault="00AB0A13" w:rsidP="00AB0A13">
            <w:pPr>
              <w:autoSpaceDE w:val="0"/>
              <w:autoSpaceDN w:val="0"/>
              <w:adjustRightInd w:val="0"/>
              <w:ind w:left="846" w:right="60"/>
              <w:rPr>
                <w:rFonts w:ascii="Verdana" w:eastAsia="Calibri" w:hAnsi="Verdana"/>
                <w:sz w:val="18"/>
                <w:szCs w:val="18"/>
              </w:rPr>
            </w:pPr>
            <w:r w:rsidRPr="00A76E7B">
              <w:rPr>
                <w:rFonts w:ascii="Verdana" w:eastAsia="Calibri" w:hAnsi="Verdana"/>
                <w:sz w:val="18"/>
                <w:szCs w:val="18"/>
              </w:rPr>
              <w:t>1.310</w:t>
            </w:r>
          </w:p>
        </w:tc>
      </w:tr>
      <w:tr w:rsidR="00AB0A13" w:rsidRPr="00A76E7B" w14:paraId="5E853AE3" w14:textId="77777777" w:rsidTr="00AB0A13">
        <w:trPr>
          <w:gridAfter w:val="1"/>
          <w:wAfter w:w="41" w:type="dxa"/>
          <w:cantSplit/>
          <w:trHeight w:val="20"/>
        </w:trPr>
        <w:tc>
          <w:tcPr>
            <w:tcW w:w="2195" w:type="pct"/>
            <w:shd w:val="clear" w:color="auto" w:fill="FFFFFF"/>
            <w:vAlign w:val="center"/>
          </w:tcPr>
          <w:p w14:paraId="079CFCD9" w14:textId="77777777" w:rsidR="00AB0A13" w:rsidRPr="00A76E7B" w:rsidRDefault="00AB0A13" w:rsidP="00AB0A13">
            <w:pPr>
              <w:autoSpaceDE w:val="0"/>
              <w:autoSpaceDN w:val="0"/>
              <w:adjustRightInd w:val="0"/>
              <w:ind w:left="0" w:right="60" w:firstLine="0"/>
              <w:rPr>
                <w:rFonts w:ascii="Verdana" w:eastAsia="Calibri" w:hAnsi="Verdana"/>
                <w:sz w:val="18"/>
                <w:szCs w:val="18"/>
              </w:rPr>
            </w:pPr>
            <w:r w:rsidRPr="00A76E7B">
              <w:rPr>
                <w:rFonts w:ascii="Verdana" w:eastAsia="Calibri" w:hAnsi="Verdana"/>
                <w:sz w:val="18"/>
                <w:szCs w:val="18"/>
              </w:rPr>
              <w:t>Neuroticism</w:t>
            </w:r>
          </w:p>
        </w:tc>
        <w:tc>
          <w:tcPr>
            <w:tcW w:w="1311" w:type="pct"/>
            <w:gridSpan w:val="2"/>
            <w:shd w:val="clear" w:color="auto" w:fill="FFFFFF"/>
            <w:vAlign w:val="center"/>
          </w:tcPr>
          <w:p w14:paraId="2C9CCD3A" w14:textId="77777777" w:rsidR="00AB0A13" w:rsidRPr="00A76E7B" w:rsidRDefault="00AB0A13" w:rsidP="00AB0A13">
            <w:pPr>
              <w:autoSpaceDE w:val="0"/>
              <w:autoSpaceDN w:val="0"/>
              <w:adjustRightInd w:val="0"/>
              <w:ind w:left="834" w:right="60"/>
              <w:rPr>
                <w:rFonts w:ascii="Verdana" w:eastAsia="Calibri" w:hAnsi="Verdana"/>
                <w:sz w:val="18"/>
                <w:szCs w:val="18"/>
              </w:rPr>
            </w:pPr>
            <w:r w:rsidRPr="00A76E7B">
              <w:rPr>
                <w:rFonts w:ascii="Verdana" w:eastAsia="Calibri" w:hAnsi="Verdana"/>
                <w:sz w:val="18"/>
                <w:szCs w:val="18"/>
              </w:rPr>
              <w:t>.983</w:t>
            </w:r>
          </w:p>
        </w:tc>
        <w:tc>
          <w:tcPr>
            <w:tcW w:w="1473" w:type="pct"/>
            <w:gridSpan w:val="2"/>
            <w:shd w:val="clear" w:color="auto" w:fill="FFFFFF"/>
            <w:vAlign w:val="center"/>
          </w:tcPr>
          <w:p w14:paraId="1679ECFC" w14:textId="77777777" w:rsidR="00AB0A13" w:rsidRPr="00A76E7B" w:rsidRDefault="00AB0A13" w:rsidP="00AB0A13">
            <w:pPr>
              <w:autoSpaceDE w:val="0"/>
              <w:autoSpaceDN w:val="0"/>
              <w:adjustRightInd w:val="0"/>
              <w:ind w:left="846" w:right="60"/>
              <w:rPr>
                <w:rFonts w:ascii="Verdana" w:eastAsia="Calibri" w:hAnsi="Verdana"/>
                <w:sz w:val="18"/>
                <w:szCs w:val="18"/>
              </w:rPr>
            </w:pPr>
            <w:r w:rsidRPr="00A76E7B">
              <w:rPr>
                <w:rFonts w:ascii="Verdana" w:eastAsia="Calibri" w:hAnsi="Verdana"/>
                <w:sz w:val="18"/>
                <w:szCs w:val="18"/>
              </w:rPr>
              <w:t>1.017</w:t>
            </w:r>
          </w:p>
        </w:tc>
      </w:tr>
      <w:tr w:rsidR="00AB0A13" w:rsidRPr="00A76E7B" w14:paraId="0E52B658" w14:textId="77777777" w:rsidTr="00AB0A13">
        <w:trPr>
          <w:gridAfter w:val="1"/>
          <w:wAfter w:w="41" w:type="dxa"/>
          <w:cantSplit/>
          <w:trHeight w:val="20"/>
        </w:trPr>
        <w:tc>
          <w:tcPr>
            <w:tcW w:w="2195" w:type="pct"/>
            <w:shd w:val="clear" w:color="auto" w:fill="FFFFFF"/>
            <w:vAlign w:val="center"/>
          </w:tcPr>
          <w:p w14:paraId="38311146" w14:textId="77777777" w:rsidR="00AB0A13" w:rsidRPr="00A76E7B" w:rsidRDefault="00AB0A13" w:rsidP="00AB0A13">
            <w:pPr>
              <w:autoSpaceDE w:val="0"/>
              <w:autoSpaceDN w:val="0"/>
              <w:adjustRightInd w:val="0"/>
              <w:ind w:left="0" w:right="60" w:firstLine="0"/>
              <w:rPr>
                <w:rFonts w:ascii="Verdana" w:eastAsia="Calibri" w:hAnsi="Verdana"/>
                <w:sz w:val="18"/>
                <w:szCs w:val="18"/>
              </w:rPr>
            </w:pPr>
            <w:r w:rsidRPr="00A76E7B">
              <w:rPr>
                <w:rFonts w:ascii="Verdana" w:eastAsia="Calibri" w:hAnsi="Verdana"/>
                <w:sz w:val="18"/>
                <w:szCs w:val="18"/>
              </w:rPr>
              <w:t>Gender</w:t>
            </w:r>
          </w:p>
        </w:tc>
        <w:tc>
          <w:tcPr>
            <w:tcW w:w="1311" w:type="pct"/>
            <w:gridSpan w:val="2"/>
            <w:shd w:val="clear" w:color="auto" w:fill="FFFFFF"/>
            <w:vAlign w:val="center"/>
          </w:tcPr>
          <w:p w14:paraId="4D70791B" w14:textId="77777777" w:rsidR="00AB0A13" w:rsidRPr="00A76E7B" w:rsidRDefault="00AB0A13" w:rsidP="00AB0A13">
            <w:pPr>
              <w:autoSpaceDE w:val="0"/>
              <w:autoSpaceDN w:val="0"/>
              <w:adjustRightInd w:val="0"/>
              <w:ind w:left="834" w:right="60"/>
              <w:rPr>
                <w:rFonts w:ascii="Verdana" w:eastAsia="Calibri" w:hAnsi="Verdana"/>
                <w:sz w:val="18"/>
                <w:szCs w:val="18"/>
              </w:rPr>
            </w:pPr>
            <w:r w:rsidRPr="00A76E7B">
              <w:rPr>
                <w:rFonts w:ascii="Verdana" w:eastAsia="Calibri" w:hAnsi="Verdana"/>
                <w:sz w:val="18"/>
                <w:szCs w:val="18"/>
              </w:rPr>
              <w:t>.947</w:t>
            </w:r>
          </w:p>
        </w:tc>
        <w:tc>
          <w:tcPr>
            <w:tcW w:w="1473" w:type="pct"/>
            <w:gridSpan w:val="2"/>
            <w:shd w:val="clear" w:color="auto" w:fill="FFFFFF"/>
            <w:vAlign w:val="center"/>
          </w:tcPr>
          <w:p w14:paraId="6EE2D001" w14:textId="77777777" w:rsidR="00AB0A13" w:rsidRPr="00A76E7B" w:rsidRDefault="00AB0A13" w:rsidP="00AB0A13">
            <w:pPr>
              <w:autoSpaceDE w:val="0"/>
              <w:autoSpaceDN w:val="0"/>
              <w:adjustRightInd w:val="0"/>
              <w:ind w:left="846" w:right="60"/>
              <w:rPr>
                <w:rFonts w:ascii="Verdana" w:eastAsia="Calibri" w:hAnsi="Verdana"/>
                <w:sz w:val="18"/>
                <w:szCs w:val="18"/>
              </w:rPr>
            </w:pPr>
            <w:r w:rsidRPr="00A76E7B">
              <w:rPr>
                <w:rFonts w:ascii="Verdana" w:eastAsia="Calibri" w:hAnsi="Verdana"/>
                <w:sz w:val="18"/>
                <w:szCs w:val="18"/>
              </w:rPr>
              <w:t>1.056</w:t>
            </w:r>
          </w:p>
        </w:tc>
      </w:tr>
      <w:tr w:rsidR="00AB0A13" w:rsidRPr="00A76E7B" w14:paraId="380D2BF8" w14:textId="77777777" w:rsidTr="00AB0A13">
        <w:trPr>
          <w:gridAfter w:val="1"/>
          <w:wAfter w:w="41" w:type="dxa"/>
          <w:cantSplit/>
          <w:trHeight w:val="20"/>
        </w:trPr>
        <w:tc>
          <w:tcPr>
            <w:tcW w:w="2195" w:type="pct"/>
            <w:shd w:val="clear" w:color="auto" w:fill="FFFFFF"/>
            <w:vAlign w:val="center"/>
          </w:tcPr>
          <w:p w14:paraId="162A0ABD" w14:textId="77777777" w:rsidR="00AB0A13" w:rsidRPr="00A76E7B" w:rsidRDefault="00AB0A13" w:rsidP="00AB0A13">
            <w:pPr>
              <w:autoSpaceDE w:val="0"/>
              <w:autoSpaceDN w:val="0"/>
              <w:adjustRightInd w:val="0"/>
              <w:ind w:left="0" w:right="60" w:firstLine="0"/>
              <w:rPr>
                <w:rFonts w:ascii="Verdana" w:eastAsia="Calibri" w:hAnsi="Verdana"/>
                <w:sz w:val="18"/>
                <w:szCs w:val="18"/>
              </w:rPr>
            </w:pPr>
            <w:r w:rsidRPr="00A76E7B">
              <w:rPr>
                <w:rFonts w:ascii="Verdana" w:eastAsia="Calibri" w:hAnsi="Verdana"/>
                <w:sz w:val="18"/>
                <w:szCs w:val="18"/>
              </w:rPr>
              <w:t>Marital status</w:t>
            </w:r>
          </w:p>
        </w:tc>
        <w:tc>
          <w:tcPr>
            <w:tcW w:w="1311" w:type="pct"/>
            <w:gridSpan w:val="2"/>
            <w:shd w:val="clear" w:color="auto" w:fill="FFFFFF"/>
            <w:vAlign w:val="center"/>
          </w:tcPr>
          <w:p w14:paraId="65EAB40C" w14:textId="77777777" w:rsidR="00AB0A13" w:rsidRPr="00A76E7B" w:rsidRDefault="00AB0A13" w:rsidP="00AB0A13">
            <w:pPr>
              <w:autoSpaceDE w:val="0"/>
              <w:autoSpaceDN w:val="0"/>
              <w:adjustRightInd w:val="0"/>
              <w:ind w:left="834" w:right="60"/>
              <w:rPr>
                <w:rFonts w:ascii="Verdana" w:eastAsia="Calibri" w:hAnsi="Verdana"/>
                <w:sz w:val="18"/>
                <w:szCs w:val="18"/>
              </w:rPr>
            </w:pPr>
            <w:r w:rsidRPr="00A76E7B">
              <w:rPr>
                <w:rFonts w:ascii="Verdana" w:eastAsia="Calibri" w:hAnsi="Verdana"/>
                <w:sz w:val="18"/>
                <w:szCs w:val="18"/>
              </w:rPr>
              <w:t>.897</w:t>
            </w:r>
          </w:p>
        </w:tc>
        <w:tc>
          <w:tcPr>
            <w:tcW w:w="1473" w:type="pct"/>
            <w:gridSpan w:val="2"/>
            <w:shd w:val="clear" w:color="auto" w:fill="FFFFFF"/>
            <w:vAlign w:val="center"/>
          </w:tcPr>
          <w:p w14:paraId="780A23D2" w14:textId="77777777" w:rsidR="00AB0A13" w:rsidRPr="00A76E7B" w:rsidRDefault="00AB0A13" w:rsidP="00AB0A13">
            <w:pPr>
              <w:autoSpaceDE w:val="0"/>
              <w:autoSpaceDN w:val="0"/>
              <w:adjustRightInd w:val="0"/>
              <w:ind w:left="846" w:right="60"/>
              <w:rPr>
                <w:rFonts w:ascii="Verdana" w:eastAsia="Calibri" w:hAnsi="Verdana"/>
                <w:sz w:val="18"/>
                <w:szCs w:val="18"/>
              </w:rPr>
            </w:pPr>
            <w:r w:rsidRPr="00A76E7B">
              <w:rPr>
                <w:rFonts w:ascii="Verdana" w:eastAsia="Calibri" w:hAnsi="Verdana"/>
                <w:sz w:val="18"/>
                <w:szCs w:val="18"/>
              </w:rPr>
              <w:t>1.046</w:t>
            </w:r>
          </w:p>
        </w:tc>
      </w:tr>
      <w:tr w:rsidR="00AB0A13" w:rsidRPr="00A76E7B" w14:paraId="7871FBF6" w14:textId="77777777" w:rsidTr="00AB0A13">
        <w:trPr>
          <w:gridAfter w:val="1"/>
          <w:wAfter w:w="41" w:type="dxa"/>
          <w:cantSplit/>
          <w:trHeight w:val="20"/>
        </w:trPr>
        <w:tc>
          <w:tcPr>
            <w:tcW w:w="2195" w:type="pct"/>
            <w:shd w:val="clear" w:color="auto" w:fill="FFFFFF"/>
            <w:vAlign w:val="center"/>
          </w:tcPr>
          <w:p w14:paraId="6C5CAC85" w14:textId="77777777" w:rsidR="00AB0A13" w:rsidRPr="00A76E7B" w:rsidRDefault="00AB0A13" w:rsidP="00AB0A13">
            <w:pPr>
              <w:autoSpaceDE w:val="0"/>
              <w:autoSpaceDN w:val="0"/>
              <w:adjustRightInd w:val="0"/>
              <w:ind w:left="0" w:right="60" w:firstLine="0"/>
              <w:rPr>
                <w:rFonts w:ascii="Verdana" w:eastAsia="Calibri" w:hAnsi="Verdana"/>
                <w:sz w:val="18"/>
                <w:szCs w:val="18"/>
              </w:rPr>
            </w:pPr>
            <w:r w:rsidRPr="00A76E7B">
              <w:rPr>
                <w:rFonts w:ascii="Verdana" w:eastAsia="Calibri" w:hAnsi="Verdana"/>
                <w:sz w:val="18"/>
                <w:szCs w:val="18"/>
              </w:rPr>
              <w:t>Education Level</w:t>
            </w:r>
          </w:p>
        </w:tc>
        <w:tc>
          <w:tcPr>
            <w:tcW w:w="1311" w:type="pct"/>
            <w:gridSpan w:val="2"/>
            <w:shd w:val="clear" w:color="auto" w:fill="FFFFFF"/>
            <w:vAlign w:val="center"/>
          </w:tcPr>
          <w:p w14:paraId="3A536BF1" w14:textId="77777777" w:rsidR="00AB0A13" w:rsidRPr="00A76E7B" w:rsidRDefault="00AB0A13" w:rsidP="00AB0A13">
            <w:pPr>
              <w:autoSpaceDE w:val="0"/>
              <w:autoSpaceDN w:val="0"/>
              <w:adjustRightInd w:val="0"/>
              <w:ind w:left="834" w:right="60"/>
              <w:rPr>
                <w:rFonts w:ascii="Verdana" w:eastAsia="Calibri" w:hAnsi="Verdana"/>
                <w:sz w:val="18"/>
                <w:szCs w:val="18"/>
              </w:rPr>
            </w:pPr>
            <w:r w:rsidRPr="00A76E7B">
              <w:rPr>
                <w:rFonts w:ascii="Verdana" w:eastAsia="Calibri" w:hAnsi="Verdana"/>
                <w:sz w:val="18"/>
                <w:szCs w:val="18"/>
              </w:rPr>
              <w:t>.934</w:t>
            </w:r>
          </w:p>
        </w:tc>
        <w:tc>
          <w:tcPr>
            <w:tcW w:w="1473" w:type="pct"/>
            <w:gridSpan w:val="2"/>
            <w:shd w:val="clear" w:color="auto" w:fill="FFFFFF"/>
            <w:vAlign w:val="center"/>
          </w:tcPr>
          <w:p w14:paraId="2D60DFAF" w14:textId="77777777" w:rsidR="00AB0A13" w:rsidRPr="00A76E7B" w:rsidRDefault="00AB0A13" w:rsidP="00AB0A13">
            <w:pPr>
              <w:autoSpaceDE w:val="0"/>
              <w:autoSpaceDN w:val="0"/>
              <w:adjustRightInd w:val="0"/>
              <w:ind w:left="846" w:right="60"/>
              <w:rPr>
                <w:rFonts w:ascii="Verdana" w:eastAsia="Calibri" w:hAnsi="Verdana"/>
                <w:sz w:val="18"/>
                <w:szCs w:val="18"/>
              </w:rPr>
            </w:pPr>
            <w:r w:rsidRPr="00A76E7B">
              <w:rPr>
                <w:rFonts w:ascii="Verdana" w:eastAsia="Calibri" w:hAnsi="Verdana"/>
                <w:sz w:val="18"/>
                <w:szCs w:val="18"/>
              </w:rPr>
              <w:t>1.070</w:t>
            </w:r>
          </w:p>
        </w:tc>
      </w:tr>
      <w:tr w:rsidR="00AB0A13" w:rsidRPr="00A76E7B" w14:paraId="193AB1E0" w14:textId="77777777" w:rsidTr="00AB0A13">
        <w:trPr>
          <w:gridAfter w:val="1"/>
          <w:wAfter w:w="41" w:type="dxa"/>
          <w:cantSplit/>
          <w:trHeight w:val="20"/>
        </w:trPr>
        <w:tc>
          <w:tcPr>
            <w:tcW w:w="2195" w:type="pct"/>
            <w:shd w:val="clear" w:color="auto" w:fill="FFFFFF"/>
            <w:vAlign w:val="center"/>
          </w:tcPr>
          <w:p w14:paraId="47DBFFD5" w14:textId="77777777" w:rsidR="00AB0A13" w:rsidRPr="00A76E7B" w:rsidRDefault="00AB0A13" w:rsidP="00AB0A13">
            <w:pPr>
              <w:autoSpaceDE w:val="0"/>
              <w:autoSpaceDN w:val="0"/>
              <w:adjustRightInd w:val="0"/>
              <w:ind w:left="0" w:right="60" w:firstLine="0"/>
              <w:rPr>
                <w:rFonts w:ascii="Verdana" w:eastAsia="Calibri" w:hAnsi="Verdana"/>
                <w:sz w:val="18"/>
                <w:szCs w:val="18"/>
              </w:rPr>
            </w:pPr>
            <w:r w:rsidRPr="00A76E7B">
              <w:rPr>
                <w:rFonts w:ascii="Verdana" w:eastAsia="Calibri" w:hAnsi="Verdana"/>
                <w:sz w:val="18"/>
                <w:szCs w:val="18"/>
              </w:rPr>
              <w:t>Monthly Income</w:t>
            </w:r>
          </w:p>
        </w:tc>
        <w:tc>
          <w:tcPr>
            <w:tcW w:w="1311" w:type="pct"/>
            <w:gridSpan w:val="2"/>
            <w:shd w:val="clear" w:color="auto" w:fill="FFFFFF"/>
            <w:vAlign w:val="center"/>
          </w:tcPr>
          <w:p w14:paraId="5DF264C5" w14:textId="77777777" w:rsidR="00AB0A13" w:rsidRPr="00A76E7B" w:rsidRDefault="00AB0A13" w:rsidP="00AB0A13">
            <w:pPr>
              <w:autoSpaceDE w:val="0"/>
              <w:autoSpaceDN w:val="0"/>
              <w:adjustRightInd w:val="0"/>
              <w:ind w:left="834" w:right="60"/>
              <w:rPr>
                <w:rFonts w:ascii="Verdana" w:eastAsia="Calibri" w:hAnsi="Verdana"/>
                <w:sz w:val="18"/>
                <w:szCs w:val="18"/>
              </w:rPr>
            </w:pPr>
            <w:r w:rsidRPr="00A76E7B">
              <w:rPr>
                <w:rFonts w:ascii="Verdana" w:eastAsia="Calibri" w:hAnsi="Verdana"/>
                <w:sz w:val="18"/>
                <w:szCs w:val="18"/>
              </w:rPr>
              <w:t>.940</w:t>
            </w:r>
          </w:p>
        </w:tc>
        <w:tc>
          <w:tcPr>
            <w:tcW w:w="1473" w:type="pct"/>
            <w:gridSpan w:val="2"/>
            <w:shd w:val="clear" w:color="auto" w:fill="FFFFFF"/>
            <w:vAlign w:val="center"/>
          </w:tcPr>
          <w:p w14:paraId="3710C3F7" w14:textId="77777777" w:rsidR="00AB0A13" w:rsidRPr="00A76E7B" w:rsidRDefault="00AB0A13" w:rsidP="00AB0A13">
            <w:pPr>
              <w:autoSpaceDE w:val="0"/>
              <w:autoSpaceDN w:val="0"/>
              <w:adjustRightInd w:val="0"/>
              <w:ind w:left="846" w:right="60"/>
              <w:rPr>
                <w:rFonts w:ascii="Verdana" w:eastAsia="Calibri" w:hAnsi="Verdana"/>
                <w:sz w:val="18"/>
                <w:szCs w:val="18"/>
              </w:rPr>
            </w:pPr>
            <w:r w:rsidRPr="00A76E7B">
              <w:rPr>
                <w:rFonts w:ascii="Verdana" w:eastAsia="Calibri" w:hAnsi="Verdana"/>
                <w:sz w:val="18"/>
                <w:szCs w:val="18"/>
              </w:rPr>
              <w:t>1.064</w:t>
            </w:r>
          </w:p>
        </w:tc>
      </w:tr>
    </w:tbl>
    <w:p w14:paraId="2F4E51CC" w14:textId="77777777" w:rsidR="004372FE" w:rsidRPr="00A76E7B" w:rsidRDefault="004372FE" w:rsidP="00A76E7B">
      <w:pPr>
        <w:pStyle w:val="ListParagraph"/>
        <w:ind w:left="709" w:firstLine="0"/>
        <w:rPr>
          <w:rFonts w:ascii="Verdana" w:hAnsi="Verdana"/>
          <w:b/>
          <w:sz w:val="22"/>
          <w:szCs w:val="22"/>
        </w:rPr>
      </w:pPr>
    </w:p>
    <w:p w14:paraId="0A1B5AFD" w14:textId="0CC4A5E3" w:rsidR="007E1F8A" w:rsidRPr="00A76E7B" w:rsidRDefault="007E1F8A" w:rsidP="00A76E7B">
      <w:pPr>
        <w:pStyle w:val="ListParagraph"/>
        <w:numPr>
          <w:ilvl w:val="2"/>
          <w:numId w:val="42"/>
        </w:numPr>
        <w:ind w:left="709"/>
        <w:rPr>
          <w:rFonts w:ascii="Verdana" w:hAnsi="Verdana"/>
          <w:b/>
          <w:sz w:val="22"/>
          <w:szCs w:val="22"/>
        </w:rPr>
      </w:pPr>
      <w:r w:rsidRPr="00A76E7B">
        <w:rPr>
          <w:rFonts w:ascii="Verdana" w:hAnsi="Verdana"/>
          <w:b/>
          <w:sz w:val="22"/>
          <w:szCs w:val="22"/>
        </w:rPr>
        <w:t xml:space="preserve">Regression </w:t>
      </w:r>
      <w:r w:rsidR="00A76E7B">
        <w:rPr>
          <w:rFonts w:ascii="Verdana" w:hAnsi="Verdana"/>
          <w:b/>
          <w:sz w:val="22"/>
          <w:szCs w:val="22"/>
        </w:rPr>
        <w:t>M</w:t>
      </w:r>
      <w:r w:rsidRPr="00A76E7B">
        <w:rPr>
          <w:rFonts w:ascii="Verdana" w:hAnsi="Verdana"/>
          <w:b/>
          <w:sz w:val="22"/>
          <w:szCs w:val="22"/>
        </w:rPr>
        <w:t xml:space="preserve">odel </w:t>
      </w:r>
      <w:r w:rsidR="00A76E7B">
        <w:rPr>
          <w:rFonts w:ascii="Verdana" w:hAnsi="Verdana"/>
          <w:b/>
          <w:sz w:val="22"/>
          <w:szCs w:val="22"/>
        </w:rPr>
        <w:t>F</w:t>
      </w:r>
      <w:r w:rsidRPr="00A76E7B">
        <w:rPr>
          <w:rFonts w:ascii="Verdana" w:hAnsi="Verdana"/>
          <w:b/>
          <w:sz w:val="22"/>
          <w:szCs w:val="22"/>
        </w:rPr>
        <w:t xml:space="preserve">it </w:t>
      </w:r>
    </w:p>
    <w:p w14:paraId="3972F842" w14:textId="77777777" w:rsidR="00A76E7B" w:rsidRDefault="00A76E7B" w:rsidP="00A76E7B">
      <w:pPr>
        <w:ind w:left="0" w:firstLine="709"/>
        <w:rPr>
          <w:rFonts w:ascii="Verdana" w:hAnsi="Verdana"/>
          <w:sz w:val="20"/>
          <w:szCs w:val="20"/>
        </w:rPr>
      </w:pPr>
    </w:p>
    <w:p w14:paraId="567E40EC" w14:textId="6F1CA857" w:rsidR="007E1F8A" w:rsidRPr="00195E39" w:rsidRDefault="007E1F8A" w:rsidP="00A76E7B">
      <w:pPr>
        <w:ind w:left="0" w:firstLine="709"/>
        <w:rPr>
          <w:rFonts w:ascii="Verdana" w:hAnsi="Verdana"/>
          <w:sz w:val="20"/>
          <w:szCs w:val="20"/>
        </w:rPr>
      </w:pPr>
      <w:r w:rsidRPr="00195E39">
        <w:rPr>
          <w:rFonts w:ascii="Verdana" w:hAnsi="Verdana"/>
          <w:sz w:val="20"/>
          <w:szCs w:val="20"/>
        </w:rPr>
        <w:t xml:space="preserve">The upper part of the regression table represents the fit of the regression model. The value of R square is 0.193 suggesting 19% variance is explained in predictor variables by explanatory variables. The probability of the test is very low explaining the model fitness and suggest good fitness of the model. Similarly, the lower part of the table also provides information about the model fitness. The data shown in the table. This portion consist of Durbin Watson test used to measure the autocorrelation in the data set, the value of the test is 1.9940 close to 2 pointing no auto correlation in the data. Similarly, Jarque Bera test is used to </w:t>
      </w:r>
      <w:proofErr w:type="spellStart"/>
      <w:r w:rsidRPr="00195E39">
        <w:rPr>
          <w:rFonts w:ascii="Verdana" w:hAnsi="Verdana"/>
          <w:sz w:val="20"/>
          <w:szCs w:val="20"/>
        </w:rPr>
        <w:lastRenderedPageBreak/>
        <w:t>guage</w:t>
      </w:r>
      <w:proofErr w:type="spellEnd"/>
      <w:r w:rsidRPr="00195E39">
        <w:rPr>
          <w:rFonts w:ascii="Verdana" w:hAnsi="Verdana"/>
          <w:sz w:val="20"/>
          <w:szCs w:val="20"/>
        </w:rPr>
        <w:t xml:space="preserve"> normality of the data set the result of the test is 15 with P-Value .00043 suggesting abnormally distributed residuals. Moreover, the Omni-Bus test was also conducted to check model fitness the statistic and its concern P-Value suggest the model fit the data. Similarly. Kurtosis of the model which is greater than 3 shows that data does not have a perfect bell shape and possess a heavy tail.</w:t>
      </w:r>
    </w:p>
    <w:p w14:paraId="4E44B397" w14:textId="77777777" w:rsidR="00505B48" w:rsidRDefault="00505B48" w:rsidP="007E1F8A">
      <w:pPr>
        <w:rPr>
          <w:rFonts w:ascii="Verdana" w:hAnsi="Verdana"/>
          <w:b/>
          <w:bCs/>
          <w:sz w:val="20"/>
          <w:szCs w:val="20"/>
        </w:rPr>
      </w:pPr>
      <w:bookmarkStart w:id="12" w:name="_Hlk135910716"/>
    </w:p>
    <w:p w14:paraId="448D9399" w14:textId="44F38BBD" w:rsidR="007E1F8A" w:rsidRPr="00195E39" w:rsidRDefault="007E1F8A" w:rsidP="007E1F8A">
      <w:pPr>
        <w:rPr>
          <w:rFonts w:ascii="Verdana" w:hAnsi="Verdana"/>
          <w:sz w:val="20"/>
          <w:szCs w:val="20"/>
        </w:rPr>
      </w:pPr>
      <w:r w:rsidRPr="00195E39">
        <w:rPr>
          <w:rFonts w:ascii="Verdana" w:hAnsi="Verdana"/>
          <w:b/>
          <w:bCs/>
          <w:sz w:val="20"/>
          <w:szCs w:val="20"/>
        </w:rPr>
        <w:t>Table 10.</w:t>
      </w:r>
      <w:r w:rsidRPr="00195E39">
        <w:rPr>
          <w:rFonts w:ascii="Verdana" w:hAnsi="Verdana"/>
          <w:sz w:val="20"/>
          <w:szCs w:val="20"/>
        </w:rPr>
        <w:t xml:space="preserve"> </w:t>
      </w:r>
    </w:p>
    <w:p w14:paraId="066423B6" w14:textId="5D04F466" w:rsidR="007E1F8A" w:rsidRPr="00195E39" w:rsidRDefault="007E1F8A" w:rsidP="007E1F8A">
      <w:pPr>
        <w:rPr>
          <w:rFonts w:ascii="Verdana" w:hAnsi="Verdana"/>
          <w:sz w:val="20"/>
          <w:szCs w:val="20"/>
        </w:rPr>
      </w:pPr>
      <w:r w:rsidRPr="00505B48">
        <w:rPr>
          <w:rFonts w:ascii="Verdana" w:hAnsi="Verdana"/>
          <w:b/>
          <w:bCs/>
          <w:i/>
          <w:iCs/>
          <w:sz w:val="20"/>
          <w:szCs w:val="20"/>
        </w:rPr>
        <w:t>WLS Regression Results</w:t>
      </w:r>
      <w:bookmarkEnd w:id="12"/>
      <w:r w:rsidRPr="00505B48">
        <w:rPr>
          <w:rFonts w:ascii="Verdana" w:hAnsi="Verdana"/>
          <w:b/>
          <w:bCs/>
          <w:i/>
          <w:iCs/>
          <w:sz w:val="20"/>
          <w:szCs w:val="20"/>
        </w:rPr>
        <w:t xml:space="preserve"> with Non-robust </w:t>
      </w:r>
      <w:r w:rsidR="00505B48">
        <w:rPr>
          <w:rFonts w:ascii="Verdana" w:hAnsi="Verdana"/>
          <w:b/>
          <w:bCs/>
          <w:i/>
          <w:iCs/>
          <w:sz w:val="20"/>
          <w:szCs w:val="20"/>
        </w:rPr>
        <w:t>C</w:t>
      </w:r>
      <w:r w:rsidRPr="00505B48">
        <w:rPr>
          <w:rFonts w:ascii="Verdana" w:hAnsi="Verdana"/>
          <w:b/>
          <w:bCs/>
          <w:i/>
          <w:iCs/>
          <w:sz w:val="20"/>
          <w:szCs w:val="20"/>
        </w:rPr>
        <w:t>ovariance</w:t>
      </w:r>
      <w:r w:rsidRPr="00195E39">
        <w:rPr>
          <w:rFonts w:ascii="Verdana" w:hAnsi="Verdana"/>
          <w:sz w:val="20"/>
          <w:szCs w:val="20"/>
        </w:rPr>
        <w:t xml:space="preserve"> </w:t>
      </w:r>
    </w:p>
    <w:tbl>
      <w:tblPr>
        <w:tblW w:w="5000" w:type="pct"/>
        <w:tblLook w:val="0000" w:firstRow="0" w:lastRow="0" w:firstColumn="0" w:lastColumn="0" w:noHBand="0" w:noVBand="0"/>
      </w:tblPr>
      <w:tblGrid>
        <w:gridCol w:w="2273"/>
        <w:gridCol w:w="245"/>
        <w:gridCol w:w="1867"/>
        <w:gridCol w:w="269"/>
        <w:gridCol w:w="557"/>
        <w:gridCol w:w="73"/>
        <w:gridCol w:w="922"/>
        <w:gridCol w:w="1112"/>
        <w:gridCol w:w="172"/>
        <w:gridCol w:w="1047"/>
        <w:gridCol w:w="1339"/>
      </w:tblGrid>
      <w:tr w:rsidR="007E1F8A" w:rsidRPr="00505B48" w14:paraId="627DBF3D" w14:textId="77777777" w:rsidTr="00505B48">
        <w:trPr>
          <w:trHeight w:val="20"/>
        </w:trPr>
        <w:tc>
          <w:tcPr>
            <w:tcW w:w="1275" w:type="pct"/>
            <w:gridSpan w:val="2"/>
            <w:tcBorders>
              <w:top w:val="single" w:sz="4" w:space="0" w:color="auto"/>
            </w:tcBorders>
            <w:vAlign w:val="center"/>
          </w:tcPr>
          <w:p w14:paraId="4ABAA966"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textAlignment w:val="baseline"/>
              <w:rPr>
                <w:rFonts w:ascii="Verdana" w:hAnsi="Verdana"/>
                <w:sz w:val="18"/>
                <w:szCs w:val="18"/>
              </w:rPr>
            </w:pPr>
            <w:bookmarkStart w:id="13" w:name="_Hlk144910486"/>
            <w:r w:rsidRPr="00505B48">
              <w:rPr>
                <w:rFonts w:ascii="Verdana" w:hAnsi="Verdana"/>
                <w:sz w:val="18"/>
                <w:szCs w:val="18"/>
              </w:rPr>
              <w:t>Dep. Variable:</w:t>
            </w:r>
          </w:p>
        </w:tc>
        <w:tc>
          <w:tcPr>
            <w:tcW w:w="1363" w:type="pct"/>
            <w:gridSpan w:val="3"/>
            <w:tcBorders>
              <w:top w:val="single" w:sz="4" w:space="0" w:color="auto"/>
            </w:tcBorders>
            <w:vAlign w:val="center"/>
          </w:tcPr>
          <w:p w14:paraId="7601954E"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2"/>
              <w:textAlignment w:val="baseline"/>
              <w:rPr>
                <w:rFonts w:ascii="Verdana" w:hAnsi="Verdana"/>
                <w:sz w:val="18"/>
                <w:szCs w:val="18"/>
              </w:rPr>
            </w:pPr>
            <w:r w:rsidRPr="00505B48">
              <w:rPr>
                <w:rFonts w:ascii="Verdana" w:hAnsi="Verdana"/>
                <w:sz w:val="18"/>
                <w:szCs w:val="18"/>
              </w:rPr>
              <w:t>Risk tolerance</w:t>
            </w:r>
          </w:p>
        </w:tc>
        <w:tc>
          <w:tcPr>
            <w:tcW w:w="1154" w:type="pct"/>
            <w:gridSpan w:val="4"/>
            <w:tcBorders>
              <w:top w:val="single" w:sz="4" w:space="0" w:color="auto"/>
            </w:tcBorders>
          </w:tcPr>
          <w:p w14:paraId="35C9B6B7"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r w:rsidRPr="00505B48">
              <w:rPr>
                <w:rFonts w:ascii="Verdana" w:hAnsi="Verdana"/>
                <w:sz w:val="18"/>
                <w:szCs w:val="18"/>
              </w:rPr>
              <w:t>R-squared:</w:t>
            </w:r>
          </w:p>
        </w:tc>
        <w:tc>
          <w:tcPr>
            <w:tcW w:w="1208" w:type="pct"/>
            <w:gridSpan w:val="2"/>
            <w:tcBorders>
              <w:top w:val="single" w:sz="4" w:space="0" w:color="auto"/>
            </w:tcBorders>
            <w:vAlign w:val="center"/>
          </w:tcPr>
          <w:p w14:paraId="16735B2E"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9"/>
              <w:jc w:val="center"/>
              <w:textAlignment w:val="baseline"/>
              <w:rPr>
                <w:rFonts w:ascii="Verdana" w:hAnsi="Verdana"/>
                <w:sz w:val="18"/>
                <w:szCs w:val="18"/>
              </w:rPr>
            </w:pPr>
            <w:r w:rsidRPr="00505B48">
              <w:rPr>
                <w:rFonts w:ascii="Verdana" w:hAnsi="Verdana"/>
                <w:sz w:val="18"/>
                <w:szCs w:val="18"/>
              </w:rPr>
              <w:t>0.193</w:t>
            </w:r>
          </w:p>
        </w:tc>
      </w:tr>
      <w:tr w:rsidR="007E1F8A" w:rsidRPr="00505B48" w14:paraId="6D50E168" w14:textId="77777777" w:rsidTr="00505B48">
        <w:trPr>
          <w:trHeight w:val="20"/>
        </w:trPr>
        <w:tc>
          <w:tcPr>
            <w:tcW w:w="1275" w:type="pct"/>
            <w:gridSpan w:val="2"/>
            <w:vAlign w:val="center"/>
          </w:tcPr>
          <w:p w14:paraId="0D1E6499"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p>
        </w:tc>
        <w:tc>
          <w:tcPr>
            <w:tcW w:w="1363" w:type="pct"/>
            <w:gridSpan w:val="3"/>
            <w:vAlign w:val="center"/>
          </w:tcPr>
          <w:p w14:paraId="62060876"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5"/>
              <w:textAlignment w:val="baseline"/>
              <w:rPr>
                <w:rFonts w:ascii="Verdana" w:hAnsi="Verdana"/>
                <w:sz w:val="18"/>
                <w:szCs w:val="18"/>
              </w:rPr>
            </w:pPr>
          </w:p>
        </w:tc>
        <w:tc>
          <w:tcPr>
            <w:tcW w:w="1154" w:type="pct"/>
            <w:gridSpan w:val="4"/>
          </w:tcPr>
          <w:p w14:paraId="1C7F90A1"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r w:rsidRPr="00505B48">
              <w:rPr>
                <w:rFonts w:ascii="Verdana" w:hAnsi="Verdana"/>
                <w:sz w:val="18"/>
                <w:szCs w:val="18"/>
              </w:rPr>
              <w:t xml:space="preserve"> </w:t>
            </w:r>
            <w:proofErr w:type="spellStart"/>
            <w:r w:rsidRPr="00505B48">
              <w:rPr>
                <w:rFonts w:ascii="Verdana" w:hAnsi="Verdana"/>
                <w:sz w:val="18"/>
                <w:szCs w:val="18"/>
              </w:rPr>
              <w:t>Adj.squared</w:t>
            </w:r>
            <w:proofErr w:type="spellEnd"/>
          </w:p>
        </w:tc>
        <w:tc>
          <w:tcPr>
            <w:tcW w:w="1208" w:type="pct"/>
            <w:gridSpan w:val="2"/>
            <w:vAlign w:val="center"/>
          </w:tcPr>
          <w:p w14:paraId="64DC2A55" w14:textId="1173EC9E"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Verdana" w:hAnsi="Verdana"/>
                <w:sz w:val="18"/>
                <w:szCs w:val="18"/>
              </w:rPr>
            </w:pPr>
            <w:r w:rsidRPr="00505B48">
              <w:rPr>
                <w:rFonts w:ascii="Verdana" w:hAnsi="Verdana"/>
                <w:sz w:val="18"/>
                <w:szCs w:val="18"/>
              </w:rPr>
              <w:t xml:space="preserve">             0.164</w:t>
            </w:r>
          </w:p>
        </w:tc>
      </w:tr>
      <w:tr w:rsidR="007E1F8A" w:rsidRPr="00505B48" w14:paraId="4A5AA8E7" w14:textId="77777777" w:rsidTr="00505B48">
        <w:trPr>
          <w:trHeight w:val="20"/>
        </w:trPr>
        <w:tc>
          <w:tcPr>
            <w:tcW w:w="1275" w:type="pct"/>
            <w:gridSpan w:val="2"/>
            <w:vAlign w:val="center"/>
          </w:tcPr>
          <w:p w14:paraId="52E44D83" w14:textId="69AB85E1" w:rsidR="007E1F8A" w:rsidRPr="00505B48" w:rsidRDefault="007E1F8A" w:rsidP="00E95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baseline"/>
              <w:rPr>
                <w:rFonts w:ascii="Verdana" w:hAnsi="Verdana"/>
                <w:sz w:val="18"/>
                <w:szCs w:val="18"/>
              </w:rPr>
            </w:pPr>
            <w:r w:rsidRPr="00505B48">
              <w:rPr>
                <w:rFonts w:ascii="Verdana" w:hAnsi="Verdana"/>
                <w:sz w:val="18"/>
                <w:szCs w:val="18"/>
              </w:rPr>
              <w:t>Method:</w:t>
            </w:r>
          </w:p>
        </w:tc>
        <w:tc>
          <w:tcPr>
            <w:tcW w:w="1363" w:type="pct"/>
            <w:gridSpan w:val="3"/>
            <w:vAlign w:val="center"/>
          </w:tcPr>
          <w:p w14:paraId="1B7E88D0"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72"/>
              <w:textAlignment w:val="baseline"/>
              <w:rPr>
                <w:rFonts w:ascii="Verdana" w:hAnsi="Verdana"/>
                <w:sz w:val="18"/>
                <w:szCs w:val="18"/>
              </w:rPr>
            </w:pPr>
            <w:r w:rsidRPr="00505B48">
              <w:rPr>
                <w:rFonts w:ascii="Verdana" w:hAnsi="Verdana"/>
                <w:sz w:val="18"/>
                <w:szCs w:val="18"/>
              </w:rPr>
              <w:t>Least Squares</w:t>
            </w:r>
          </w:p>
        </w:tc>
        <w:tc>
          <w:tcPr>
            <w:tcW w:w="1154" w:type="pct"/>
            <w:gridSpan w:val="4"/>
          </w:tcPr>
          <w:p w14:paraId="60534E74"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r w:rsidRPr="00505B48">
              <w:rPr>
                <w:rFonts w:ascii="Verdana" w:hAnsi="Verdana"/>
                <w:sz w:val="18"/>
                <w:szCs w:val="18"/>
              </w:rPr>
              <w:t xml:space="preserve"> F-statistic:</w:t>
            </w:r>
          </w:p>
        </w:tc>
        <w:tc>
          <w:tcPr>
            <w:tcW w:w="1208" w:type="pct"/>
            <w:gridSpan w:val="2"/>
            <w:vAlign w:val="center"/>
          </w:tcPr>
          <w:p w14:paraId="76F5AF80"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29"/>
              <w:jc w:val="center"/>
              <w:textAlignment w:val="baseline"/>
              <w:rPr>
                <w:rFonts w:ascii="Verdana" w:hAnsi="Verdana"/>
                <w:sz w:val="18"/>
                <w:szCs w:val="18"/>
              </w:rPr>
            </w:pPr>
            <w:r w:rsidRPr="00505B48">
              <w:rPr>
                <w:rFonts w:ascii="Verdana" w:hAnsi="Verdana"/>
                <w:sz w:val="18"/>
                <w:szCs w:val="18"/>
              </w:rPr>
              <w:t>6.547</w:t>
            </w:r>
          </w:p>
        </w:tc>
      </w:tr>
      <w:tr w:rsidR="007E1F8A" w:rsidRPr="00505B48" w14:paraId="19C0F69E" w14:textId="77777777" w:rsidTr="00505B48">
        <w:trPr>
          <w:trHeight w:val="20"/>
        </w:trPr>
        <w:tc>
          <w:tcPr>
            <w:tcW w:w="1275" w:type="pct"/>
            <w:gridSpan w:val="2"/>
            <w:vAlign w:val="center"/>
          </w:tcPr>
          <w:p w14:paraId="130E72DF" w14:textId="3DB71CA8" w:rsidR="007E1F8A" w:rsidRPr="00505B48" w:rsidRDefault="007E1F8A" w:rsidP="00E951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textAlignment w:val="baseline"/>
              <w:rPr>
                <w:rFonts w:ascii="Verdana" w:hAnsi="Verdana"/>
                <w:sz w:val="18"/>
                <w:szCs w:val="18"/>
              </w:rPr>
            </w:pPr>
            <w:r w:rsidRPr="00505B48">
              <w:rPr>
                <w:rFonts w:ascii="Verdana" w:hAnsi="Verdana"/>
                <w:sz w:val="18"/>
                <w:szCs w:val="18"/>
              </w:rPr>
              <w:t>Prob (F-</w:t>
            </w:r>
            <w:r w:rsidR="00E9511D" w:rsidRPr="00505B48">
              <w:rPr>
                <w:rFonts w:ascii="Verdana" w:hAnsi="Verdana"/>
                <w:sz w:val="18"/>
                <w:szCs w:val="18"/>
              </w:rPr>
              <w:t xml:space="preserve">statistic)  </w:t>
            </w:r>
            <w:r w:rsidRPr="00505B48">
              <w:rPr>
                <w:rFonts w:ascii="Verdana" w:hAnsi="Verdana"/>
                <w:sz w:val="18"/>
                <w:szCs w:val="18"/>
              </w:rPr>
              <w:t xml:space="preserve">  </w:t>
            </w:r>
          </w:p>
        </w:tc>
        <w:tc>
          <w:tcPr>
            <w:tcW w:w="1363" w:type="pct"/>
            <w:gridSpan w:val="3"/>
            <w:vAlign w:val="center"/>
          </w:tcPr>
          <w:p w14:paraId="2C599D65"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25"/>
              <w:textAlignment w:val="baseline"/>
              <w:rPr>
                <w:rFonts w:ascii="Verdana" w:hAnsi="Verdana"/>
                <w:sz w:val="18"/>
                <w:szCs w:val="18"/>
              </w:rPr>
            </w:pPr>
            <w:r w:rsidRPr="00505B48">
              <w:rPr>
                <w:rFonts w:ascii="Verdana" w:hAnsi="Verdana"/>
                <w:sz w:val="18"/>
                <w:szCs w:val="18"/>
              </w:rPr>
              <w:t>4.46e-09</w:t>
            </w:r>
          </w:p>
        </w:tc>
        <w:tc>
          <w:tcPr>
            <w:tcW w:w="1154" w:type="pct"/>
            <w:gridSpan w:val="4"/>
          </w:tcPr>
          <w:p w14:paraId="04F7F101"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25"/>
              <w:textAlignment w:val="baseline"/>
              <w:rPr>
                <w:rFonts w:ascii="Verdana" w:hAnsi="Verdana"/>
                <w:sz w:val="18"/>
                <w:szCs w:val="18"/>
              </w:rPr>
            </w:pPr>
          </w:p>
        </w:tc>
        <w:tc>
          <w:tcPr>
            <w:tcW w:w="1208" w:type="pct"/>
            <w:gridSpan w:val="2"/>
            <w:vAlign w:val="center"/>
          </w:tcPr>
          <w:p w14:paraId="36E56784"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25"/>
              <w:jc w:val="center"/>
              <w:textAlignment w:val="baseline"/>
              <w:rPr>
                <w:rFonts w:ascii="Verdana" w:hAnsi="Verdana"/>
                <w:sz w:val="18"/>
                <w:szCs w:val="18"/>
              </w:rPr>
            </w:pPr>
          </w:p>
        </w:tc>
      </w:tr>
      <w:tr w:rsidR="007E1F8A" w:rsidRPr="00505B48" w14:paraId="6805578B" w14:textId="77777777" w:rsidTr="00505B48">
        <w:trPr>
          <w:gridAfter w:val="7"/>
          <w:wAfter w:w="2644" w:type="pct"/>
          <w:trHeight w:val="20"/>
        </w:trPr>
        <w:tc>
          <w:tcPr>
            <w:tcW w:w="1151" w:type="pct"/>
            <w:vAlign w:val="center"/>
          </w:tcPr>
          <w:p w14:paraId="1AC1BFB3"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textAlignment w:val="baseline"/>
              <w:rPr>
                <w:rFonts w:ascii="Verdana" w:hAnsi="Verdana"/>
                <w:sz w:val="18"/>
                <w:szCs w:val="18"/>
              </w:rPr>
            </w:pPr>
            <w:r w:rsidRPr="00505B48">
              <w:rPr>
                <w:rFonts w:ascii="Verdana" w:hAnsi="Verdana"/>
                <w:sz w:val="18"/>
                <w:szCs w:val="18"/>
              </w:rPr>
              <w:t>Log-Likelihood:</w:t>
            </w:r>
          </w:p>
        </w:tc>
        <w:tc>
          <w:tcPr>
            <w:tcW w:w="1205" w:type="pct"/>
            <w:gridSpan w:val="3"/>
            <w:vAlign w:val="center"/>
          </w:tcPr>
          <w:p w14:paraId="15E407A1"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textAlignment w:val="baseline"/>
              <w:rPr>
                <w:rFonts w:ascii="Verdana" w:hAnsi="Verdana"/>
                <w:sz w:val="18"/>
                <w:szCs w:val="18"/>
              </w:rPr>
            </w:pPr>
            <w:r w:rsidRPr="00505B48">
              <w:rPr>
                <w:rFonts w:ascii="Verdana" w:hAnsi="Verdana"/>
                <w:sz w:val="18"/>
                <w:szCs w:val="18"/>
              </w:rPr>
              <w:t xml:space="preserve">              460.54</w:t>
            </w:r>
          </w:p>
        </w:tc>
      </w:tr>
      <w:tr w:rsidR="007E1F8A" w:rsidRPr="00505B48" w14:paraId="5F686F6F" w14:textId="77777777" w:rsidTr="00505B48">
        <w:trPr>
          <w:trHeight w:val="20"/>
        </w:trPr>
        <w:tc>
          <w:tcPr>
            <w:tcW w:w="1275" w:type="pct"/>
            <w:gridSpan w:val="2"/>
            <w:vAlign w:val="center"/>
          </w:tcPr>
          <w:p w14:paraId="2FFC6835"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textAlignment w:val="baseline"/>
              <w:rPr>
                <w:rFonts w:ascii="Verdana" w:hAnsi="Verdana"/>
                <w:sz w:val="18"/>
                <w:szCs w:val="18"/>
              </w:rPr>
            </w:pPr>
            <w:r w:rsidRPr="00505B48">
              <w:rPr>
                <w:rFonts w:ascii="Verdana" w:hAnsi="Verdana"/>
                <w:sz w:val="18"/>
                <w:szCs w:val="18"/>
              </w:rPr>
              <w:t>No. Observations:</w:t>
            </w:r>
          </w:p>
        </w:tc>
        <w:tc>
          <w:tcPr>
            <w:tcW w:w="1363" w:type="pct"/>
            <w:gridSpan w:val="3"/>
            <w:vAlign w:val="center"/>
          </w:tcPr>
          <w:p w14:paraId="013684A3"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r w:rsidRPr="00505B48">
              <w:rPr>
                <w:rFonts w:ascii="Verdana" w:hAnsi="Verdana"/>
                <w:sz w:val="18"/>
                <w:szCs w:val="18"/>
              </w:rPr>
              <w:t xml:space="preserve">                284</w:t>
            </w:r>
          </w:p>
        </w:tc>
        <w:tc>
          <w:tcPr>
            <w:tcW w:w="1154" w:type="pct"/>
            <w:gridSpan w:val="4"/>
          </w:tcPr>
          <w:p w14:paraId="238B0A5A"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r w:rsidRPr="00505B48">
              <w:rPr>
                <w:rFonts w:ascii="Verdana" w:hAnsi="Verdana"/>
                <w:sz w:val="18"/>
                <w:szCs w:val="18"/>
              </w:rPr>
              <w:t>AIC:</w:t>
            </w:r>
          </w:p>
        </w:tc>
        <w:tc>
          <w:tcPr>
            <w:tcW w:w="1208" w:type="pct"/>
            <w:gridSpan w:val="2"/>
            <w:vAlign w:val="center"/>
          </w:tcPr>
          <w:p w14:paraId="2818EDD3"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r w:rsidRPr="00505B48">
              <w:rPr>
                <w:rFonts w:ascii="Verdana" w:hAnsi="Verdana"/>
                <w:sz w:val="18"/>
                <w:szCs w:val="18"/>
              </w:rPr>
              <w:t xml:space="preserve">                        943</w:t>
            </w:r>
          </w:p>
        </w:tc>
      </w:tr>
      <w:tr w:rsidR="007E1F8A" w:rsidRPr="00505B48" w14:paraId="12733D94" w14:textId="77777777" w:rsidTr="00505B48">
        <w:trPr>
          <w:trHeight w:val="20"/>
        </w:trPr>
        <w:tc>
          <w:tcPr>
            <w:tcW w:w="1275" w:type="pct"/>
            <w:gridSpan w:val="2"/>
            <w:tcBorders>
              <w:bottom w:val="single" w:sz="4" w:space="0" w:color="auto"/>
            </w:tcBorders>
            <w:vAlign w:val="center"/>
          </w:tcPr>
          <w:p w14:paraId="4487EB39"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70"/>
              <w:textAlignment w:val="baseline"/>
              <w:rPr>
                <w:rFonts w:ascii="Verdana" w:hAnsi="Verdana"/>
                <w:sz w:val="18"/>
                <w:szCs w:val="18"/>
              </w:rPr>
            </w:pPr>
            <w:proofErr w:type="spellStart"/>
            <w:r w:rsidRPr="00505B48">
              <w:rPr>
                <w:rFonts w:ascii="Verdana" w:hAnsi="Verdana"/>
                <w:sz w:val="18"/>
                <w:szCs w:val="18"/>
              </w:rPr>
              <w:t>Df</w:t>
            </w:r>
            <w:proofErr w:type="spellEnd"/>
            <w:r w:rsidRPr="00505B48">
              <w:rPr>
                <w:rFonts w:ascii="Verdana" w:hAnsi="Verdana"/>
                <w:sz w:val="18"/>
                <w:szCs w:val="18"/>
              </w:rPr>
              <w:t xml:space="preserve"> Residuals:</w:t>
            </w:r>
          </w:p>
        </w:tc>
        <w:tc>
          <w:tcPr>
            <w:tcW w:w="1363" w:type="pct"/>
            <w:gridSpan w:val="3"/>
            <w:tcBorders>
              <w:bottom w:val="single" w:sz="4" w:space="0" w:color="auto"/>
            </w:tcBorders>
            <w:vAlign w:val="center"/>
          </w:tcPr>
          <w:p w14:paraId="2D57CF76"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r w:rsidRPr="00505B48">
              <w:rPr>
                <w:rFonts w:ascii="Verdana" w:hAnsi="Verdana"/>
                <w:sz w:val="18"/>
                <w:szCs w:val="18"/>
              </w:rPr>
              <w:t xml:space="preserve">                273</w:t>
            </w:r>
          </w:p>
        </w:tc>
        <w:tc>
          <w:tcPr>
            <w:tcW w:w="1154" w:type="pct"/>
            <w:gridSpan w:val="4"/>
            <w:tcBorders>
              <w:bottom w:val="single" w:sz="4" w:space="0" w:color="auto"/>
            </w:tcBorders>
          </w:tcPr>
          <w:p w14:paraId="1CBEAEF9"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r w:rsidRPr="00505B48">
              <w:rPr>
                <w:rFonts w:ascii="Verdana" w:hAnsi="Verdana"/>
                <w:sz w:val="18"/>
                <w:szCs w:val="18"/>
              </w:rPr>
              <w:t>BIC:</w:t>
            </w:r>
          </w:p>
        </w:tc>
        <w:tc>
          <w:tcPr>
            <w:tcW w:w="1208" w:type="pct"/>
            <w:gridSpan w:val="2"/>
            <w:tcBorders>
              <w:bottom w:val="single" w:sz="4" w:space="0" w:color="auto"/>
            </w:tcBorders>
            <w:vAlign w:val="center"/>
          </w:tcPr>
          <w:p w14:paraId="5A4B3669"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r w:rsidRPr="00505B48">
              <w:rPr>
                <w:rFonts w:ascii="Verdana" w:hAnsi="Verdana"/>
                <w:sz w:val="18"/>
                <w:szCs w:val="18"/>
              </w:rPr>
              <w:t xml:space="preserve">                        983</w:t>
            </w:r>
          </w:p>
        </w:tc>
      </w:tr>
      <w:tr w:rsidR="007E1F8A" w:rsidRPr="00505B48" w14:paraId="01E6397B" w14:textId="77777777" w:rsidTr="00505B48">
        <w:trPr>
          <w:gridAfter w:val="7"/>
          <w:wAfter w:w="2644" w:type="pct"/>
          <w:trHeight w:val="20"/>
        </w:trPr>
        <w:tc>
          <w:tcPr>
            <w:tcW w:w="1151" w:type="pct"/>
            <w:tcBorders>
              <w:top w:val="single" w:sz="4" w:space="0" w:color="auto"/>
            </w:tcBorders>
            <w:vAlign w:val="center"/>
          </w:tcPr>
          <w:p w14:paraId="6A0E0BAA"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p>
        </w:tc>
        <w:tc>
          <w:tcPr>
            <w:tcW w:w="1205" w:type="pct"/>
            <w:gridSpan w:val="3"/>
            <w:tcBorders>
              <w:top w:val="single" w:sz="4" w:space="0" w:color="auto"/>
            </w:tcBorders>
            <w:vAlign w:val="center"/>
          </w:tcPr>
          <w:p w14:paraId="37E25BBD" w14:textId="77777777" w:rsidR="007E1F8A" w:rsidRPr="00505B48" w:rsidRDefault="007E1F8A" w:rsidP="005534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p>
        </w:tc>
      </w:tr>
      <w:tr w:rsidR="007E1F8A" w:rsidRPr="00505B48" w14:paraId="1AC67292" w14:textId="77777777" w:rsidTr="00505B48">
        <w:trPr>
          <w:trHeight w:val="20"/>
        </w:trPr>
        <w:tc>
          <w:tcPr>
            <w:tcW w:w="1275" w:type="pct"/>
            <w:gridSpan w:val="2"/>
            <w:tcBorders>
              <w:bottom w:val="single" w:sz="4" w:space="0" w:color="auto"/>
            </w:tcBorders>
            <w:vAlign w:val="center"/>
          </w:tcPr>
          <w:p w14:paraId="7837D2A9" w14:textId="77777777" w:rsidR="007E1F8A" w:rsidRPr="00505B48" w:rsidRDefault="007E1F8A" w:rsidP="005534E0">
            <w:pPr>
              <w:jc w:val="center"/>
              <w:rPr>
                <w:rFonts w:ascii="Verdana" w:hAnsi="Verdana"/>
                <w:sz w:val="18"/>
                <w:szCs w:val="18"/>
              </w:rPr>
            </w:pPr>
          </w:p>
        </w:tc>
        <w:tc>
          <w:tcPr>
            <w:tcW w:w="945" w:type="pct"/>
            <w:tcBorders>
              <w:bottom w:val="single" w:sz="4" w:space="0" w:color="auto"/>
            </w:tcBorders>
            <w:vAlign w:val="center"/>
          </w:tcPr>
          <w:p w14:paraId="10999955" w14:textId="2C18D98F" w:rsidR="007E1F8A" w:rsidRPr="00E9511D" w:rsidRDefault="00E9511D" w:rsidP="005534E0">
            <w:pPr>
              <w:jc w:val="center"/>
              <w:rPr>
                <w:rFonts w:ascii="Verdana" w:hAnsi="Verdana"/>
                <w:b/>
                <w:bCs/>
                <w:sz w:val="18"/>
                <w:szCs w:val="18"/>
              </w:rPr>
            </w:pPr>
            <w:r w:rsidRPr="00E9511D">
              <w:rPr>
                <w:rFonts w:ascii="Verdana" w:hAnsi="Verdana"/>
                <w:b/>
                <w:bCs/>
                <w:sz w:val="18"/>
                <w:szCs w:val="18"/>
              </w:rPr>
              <w:t>C</w:t>
            </w:r>
            <w:r w:rsidR="007E1F8A" w:rsidRPr="00E9511D">
              <w:rPr>
                <w:rFonts w:ascii="Verdana" w:hAnsi="Verdana"/>
                <w:b/>
                <w:bCs/>
                <w:sz w:val="18"/>
                <w:szCs w:val="18"/>
              </w:rPr>
              <w:t>oef</w:t>
            </w:r>
            <w:r w:rsidRPr="00E9511D">
              <w:rPr>
                <w:rFonts w:ascii="Verdana" w:hAnsi="Verdana"/>
                <w:b/>
                <w:bCs/>
                <w:sz w:val="18"/>
                <w:szCs w:val="18"/>
              </w:rPr>
              <w:t>.</w:t>
            </w:r>
          </w:p>
        </w:tc>
        <w:tc>
          <w:tcPr>
            <w:tcW w:w="455" w:type="pct"/>
            <w:gridSpan w:val="3"/>
            <w:tcBorders>
              <w:bottom w:val="single" w:sz="4" w:space="0" w:color="auto"/>
            </w:tcBorders>
            <w:vAlign w:val="center"/>
          </w:tcPr>
          <w:p w14:paraId="6F9C06B3" w14:textId="77777777" w:rsidR="007E1F8A" w:rsidRPr="00E9511D" w:rsidRDefault="007E1F8A" w:rsidP="005534E0">
            <w:pPr>
              <w:jc w:val="center"/>
              <w:rPr>
                <w:rFonts w:ascii="Verdana" w:hAnsi="Verdana"/>
                <w:b/>
                <w:bCs/>
                <w:sz w:val="18"/>
                <w:szCs w:val="18"/>
              </w:rPr>
            </w:pPr>
            <w:r w:rsidRPr="00E9511D">
              <w:rPr>
                <w:rFonts w:ascii="Verdana" w:hAnsi="Verdana"/>
                <w:b/>
                <w:bCs/>
                <w:sz w:val="18"/>
                <w:szCs w:val="18"/>
              </w:rPr>
              <w:t>std err</w:t>
            </w:r>
          </w:p>
        </w:tc>
        <w:tc>
          <w:tcPr>
            <w:tcW w:w="467" w:type="pct"/>
            <w:tcBorders>
              <w:bottom w:val="single" w:sz="4" w:space="0" w:color="auto"/>
            </w:tcBorders>
            <w:vAlign w:val="center"/>
          </w:tcPr>
          <w:p w14:paraId="4FBA0367" w14:textId="77777777" w:rsidR="007E1F8A" w:rsidRPr="00E9511D" w:rsidRDefault="007E1F8A" w:rsidP="005534E0">
            <w:pPr>
              <w:jc w:val="center"/>
              <w:rPr>
                <w:rFonts w:ascii="Verdana" w:hAnsi="Verdana"/>
                <w:b/>
                <w:bCs/>
                <w:sz w:val="18"/>
                <w:szCs w:val="18"/>
              </w:rPr>
            </w:pPr>
            <w:r w:rsidRPr="00E9511D">
              <w:rPr>
                <w:rFonts w:ascii="Verdana" w:hAnsi="Verdana"/>
                <w:b/>
                <w:bCs/>
                <w:sz w:val="18"/>
                <w:szCs w:val="18"/>
              </w:rPr>
              <w:t>t</w:t>
            </w:r>
          </w:p>
        </w:tc>
        <w:tc>
          <w:tcPr>
            <w:tcW w:w="563" w:type="pct"/>
            <w:tcBorders>
              <w:bottom w:val="single" w:sz="4" w:space="0" w:color="auto"/>
            </w:tcBorders>
            <w:vAlign w:val="center"/>
          </w:tcPr>
          <w:p w14:paraId="2E21625B" w14:textId="77777777" w:rsidR="007E1F8A" w:rsidRPr="00E9511D" w:rsidRDefault="007E1F8A" w:rsidP="005534E0">
            <w:pPr>
              <w:jc w:val="center"/>
              <w:rPr>
                <w:rFonts w:ascii="Verdana" w:hAnsi="Verdana"/>
                <w:b/>
                <w:bCs/>
                <w:sz w:val="18"/>
                <w:szCs w:val="18"/>
              </w:rPr>
            </w:pPr>
            <w:r w:rsidRPr="00E9511D">
              <w:rPr>
                <w:rFonts w:ascii="Verdana" w:hAnsi="Verdana"/>
                <w:b/>
                <w:bCs/>
                <w:sz w:val="18"/>
                <w:szCs w:val="18"/>
              </w:rPr>
              <w:t>P&gt;|t|</w:t>
            </w:r>
          </w:p>
        </w:tc>
        <w:tc>
          <w:tcPr>
            <w:tcW w:w="617" w:type="pct"/>
            <w:gridSpan w:val="2"/>
            <w:tcBorders>
              <w:bottom w:val="single" w:sz="4" w:space="0" w:color="auto"/>
            </w:tcBorders>
            <w:vAlign w:val="center"/>
          </w:tcPr>
          <w:p w14:paraId="51C71207" w14:textId="77777777" w:rsidR="007E1F8A" w:rsidRPr="00E9511D" w:rsidRDefault="007E1F8A" w:rsidP="005534E0">
            <w:pPr>
              <w:jc w:val="center"/>
              <w:rPr>
                <w:rFonts w:ascii="Verdana" w:hAnsi="Verdana"/>
                <w:b/>
                <w:bCs/>
                <w:sz w:val="18"/>
                <w:szCs w:val="18"/>
              </w:rPr>
            </w:pPr>
            <w:r w:rsidRPr="00E9511D">
              <w:rPr>
                <w:rFonts w:ascii="Verdana" w:hAnsi="Verdana"/>
                <w:b/>
                <w:bCs/>
                <w:sz w:val="18"/>
                <w:szCs w:val="18"/>
              </w:rPr>
              <w:t>LCL</w:t>
            </w:r>
          </w:p>
        </w:tc>
        <w:tc>
          <w:tcPr>
            <w:tcW w:w="678" w:type="pct"/>
            <w:tcBorders>
              <w:bottom w:val="single" w:sz="4" w:space="0" w:color="auto"/>
            </w:tcBorders>
            <w:vAlign w:val="center"/>
          </w:tcPr>
          <w:p w14:paraId="5D0B6FA2" w14:textId="77777777" w:rsidR="007E1F8A" w:rsidRPr="00E9511D" w:rsidRDefault="007E1F8A" w:rsidP="005534E0">
            <w:pPr>
              <w:jc w:val="center"/>
              <w:rPr>
                <w:rFonts w:ascii="Verdana" w:hAnsi="Verdana"/>
                <w:b/>
                <w:bCs/>
                <w:sz w:val="18"/>
                <w:szCs w:val="18"/>
              </w:rPr>
            </w:pPr>
            <w:r w:rsidRPr="00E9511D">
              <w:rPr>
                <w:rFonts w:ascii="Verdana" w:hAnsi="Verdana"/>
                <w:b/>
                <w:bCs/>
                <w:sz w:val="18"/>
                <w:szCs w:val="18"/>
              </w:rPr>
              <w:t>UCL</w:t>
            </w:r>
          </w:p>
        </w:tc>
      </w:tr>
      <w:tr w:rsidR="007E1F8A" w:rsidRPr="00505B48" w14:paraId="708E67D8" w14:textId="77777777" w:rsidTr="00505B48">
        <w:trPr>
          <w:trHeight w:val="20"/>
        </w:trPr>
        <w:tc>
          <w:tcPr>
            <w:tcW w:w="1275" w:type="pct"/>
            <w:gridSpan w:val="2"/>
            <w:tcBorders>
              <w:top w:val="single" w:sz="4" w:space="0" w:color="auto"/>
            </w:tcBorders>
            <w:vAlign w:val="center"/>
          </w:tcPr>
          <w:p w14:paraId="4A2600EA" w14:textId="77777777" w:rsidR="007E1F8A" w:rsidRPr="00505B48" w:rsidRDefault="007E1F8A" w:rsidP="005534E0">
            <w:pPr>
              <w:ind w:left="270"/>
              <w:rPr>
                <w:rFonts w:ascii="Verdana" w:eastAsia="Calibri" w:hAnsi="Verdana"/>
                <w:sz w:val="18"/>
                <w:szCs w:val="18"/>
              </w:rPr>
            </w:pPr>
          </w:p>
        </w:tc>
        <w:tc>
          <w:tcPr>
            <w:tcW w:w="945" w:type="pct"/>
            <w:tcBorders>
              <w:top w:val="single" w:sz="4" w:space="0" w:color="auto"/>
            </w:tcBorders>
            <w:vAlign w:val="center"/>
          </w:tcPr>
          <w:p w14:paraId="2EFDDB7D" w14:textId="77777777" w:rsidR="007E1F8A" w:rsidRPr="00505B48" w:rsidRDefault="007E1F8A" w:rsidP="005534E0">
            <w:pPr>
              <w:jc w:val="center"/>
              <w:rPr>
                <w:rFonts w:ascii="Verdana" w:eastAsia="Calibri" w:hAnsi="Verdana"/>
                <w:sz w:val="18"/>
                <w:szCs w:val="18"/>
              </w:rPr>
            </w:pPr>
          </w:p>
        </w:tc>
        <w:tc>
          <w:tcPr>
            <w:tcW w:w="455" w:type="pct"/>
            <w:gridSpan w:val="3"/>
            <w:tcBorders>
              <w:top w:val="single" w:sz="4" w:space="0" w:color="auto"/>
            </w:tcBorders>
            <w:vAlign w:val="center"/>
          </w:tcPr>
          <w:p w14:paraId="5BDA1304" w14:textId="77777777" w:rsidR="007E1F8A" w:rsidRPr="00505B48" w:rsidRDefault="007E1F8A" w:rsidP="005534E0">
            <w:pPr>
              <w:jc w:val="center"/>
              <w:rPr>
                <w:rFonts w:ascii="Verdana" w:eastAsia="Calibri" w:hAnsi="Verdana"/>
                <w:sz w:val="18"/>
                <w:szCs w:val="18"/>
              </w:rPr>
            </w:pPr>
          </w:p>
        </w:tc>
        <w:tc>
          <w:tcPr>
            <w:tcW w:w="467" w:type="pct"/>
            <w:tcBorders>
              <w:top w:val="single" w:sz="4" w:space="0" w:color="auto"/>
            </w:tcBorders>
            <w:vAlign w:val="center"/>
          </w:tcPr>
          <w:p w14:paraId="58185AAA" w14:textId="77777777" w:rsidR="007E1F8A" w:rsidRPr="00505B48" w:rsidRDefault="007E1F8A" w:rsidP="005534E0">
            <w:pPr>
              <w:jc w:val="center"/>
              <w:rPr>
                <w:rFonts w:ascii="Verdana" w:eastAsia="Calibri" w:hAnsi="Verdana"/>
                <w:sz w:val="18"/>
                <w:szCs w:val="18"/>
              </w:rPr>
            </w:pPr>
          </w:p>
        </w:tc>
        <w:tc>
          <w:tcPr>
            <w:tcW w:w="563" w:type="pct"/>
            <w:tcBorders>
              <w:top w:val="single" w:sz="4" w:space="0" w:color="auto"/>
            </w:tcBorders>
            <w:vAlign w:val="center"/>
          </w:tcPr>
          <w:p w14:paraId="395B2046" w14:textId="77777777" w:rsidR="007E1F8A" w:rsidRPr="00505B48" w:rsidRDefault="007E1F8A" w:rsidP="005534E0">
            <w:pPr>
              <w:jc w:val="center"/>
              <w:rPr>
                <w:rFonts w:ascii="Verdana" w:eastAsia="Calibri" w:hAnsi="Verdana"/>
                <w:sz w:val="18"/>
                <w:szCs w:val="18"/>
              </w:rPr>
            </w:pPr>
          </w:p>
        </w:tc>
        <w:tc>
          <w:tcPr>
            <w:tcW w:w="617" w:type="pct"/>
            <w:gridSpan w:val="2"/>
            <w:tcBorders>
              <w:top w:val="single" w:sz="4" w:space="0" w:color="auto"/>
            </w:tcBorders>
            <w:vAlign w:val="center"/>
          </w:tcPr>
          <w:p w14:paraId="77F1E236" w14:textId="77777777" w:rsidR="007E1F8A" w:rsidRPr="00505B48" w:rsidRDefault="007E1F8A" w:rsidP="005534E0">
            <w:pPr>
              <w:jc w:val="center"/>
              <w:rPr>
                <w:rFonts w:ascii="Verdana" w:eastAsia="Calibri" w:hAnsi="Verdana"/>
                <w:sz w:val="18"/>
                <w:szCs w:val="18"/>
              </w:rPr>
            </w:pPr>
            <w:r w:rsidRPr="00505B48">
              <w:rPr>
                <w:rFonts w:ascii="Verdana" w:hAnsi="Verdana"/>
                <w:sz w:val="18"/>
                <w:szCs w:val="18"/>
              </w:rPr>
              <w:t>0.025</w:t>
            </w:r>
          </w:p>
        </w:tc>
        <w:tc>
          <w:tcPr>
            <w:tcW w:w="678" w:type="pct"/>
            <w:tcBorders>
              <w:top w:val="single" w:sz="4" w:space="0" w:color="auto"/>
            </w:tcBorders>
            <w:vAlign w:val="center"/>
          </w:tcPr>
          <w:p w14:paraId="15802815" w14:textId="77777777" w:rsidR="007E1F8A" w:rsidRPr="00505B48" w:rsidRDefault="007E1F8A" w:rsidP="005534E0">
            <w:pPr>
              <w:jc w:val="center"/>
              <w:rPr>
                <w:rFonts w:ascii="Verdana" w:eastAsia="Calibri" w:hAnsi="Verdana"/>
                <w:sz w:val="18"/>
                <w:szCs w:val="18"/>
              </w:rPr>
            </w:pPr>
            <w:r w:rsidRPr="00505B48">
              <w:rPr>
                <w:rFonts w:ascii="Verdana" w:hAnsi="Verdana"/>
                <w:sz w:val="18"/>
                <w:szCs w:val="18"/>
              </w:rPr>
              <w:t>0.975</w:t>
            </w:r>
          </w:p>
        </w:tc>
      </w:tr>
      <w:tr w:rsidR="007E1F8A" w:rsidRPr="00505B48" w14:paraId="71934814" w14:textId="77777777" w:rsidTr="00505B48">
        <w:trPr>
          <w:trHeight w:val="20"/>
        </w:trPr>
        <w:tc>
          <w:tcPr>
            <w:tcW w:w="1275" w:type="pct"/>
            <w:gridSpan w:val="2"/>
            <w:vAlign w:val="center"/>
          </w:tcPr>
          <w:p w14:paraId="2232CED8" w14:textId="77777777" w:rsidR="007E1F8A" w:rsidRPr="00505B48" w:rsidRDefault="007E1F8A" w:rsidP="005534E0">
            <w:pPr>
              <w:ind w:left="270"/>
              <w:rPr>
                <w:rFonts w:ascii="Verdana" w:eastAsia="Calibri" w:hAnsi="Verdana"/>
                <w:sz w:val="18"/>
                <w:szCs w:val="18"/>
              </w:rPr>
            </w:pPr>
            <w:r w:rsidRPr="00505B48">
              <w:rPr>
                <w:rFonts w:ascii="Verdana" w:hAnsi="Verdana"/>
                <w:sz w:val="18"/>
                <w:szCs w:val="18"/>
              </w:rPr>
              <w:t>Age</w:t>
            </w:r>
          </w:p>
        </w:tc>
        <w:tc>
          <w:tcPr>
            <w:tcW w:w="945" w:type="pct"/>
            <w:vAlign w:val="center"/>
          </w:tcPr>
          <w:p w14:paraId="1235F43C"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-0.2184</w:t>
            </w:r>
          </w:p>
        </w:tc>
        <w:tc>
          <w:tcPr>
            <w:tcW w:w="455" w:type="pct"/>
            <w:gridSpan w:val="3"/>
            <w:vAlign w:val="center"/>
          </w:tcPr>
          <w:p w14:paraId="3AE76B61"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0.073</w:t>
            </w:r>
          </w:p>
        </w:tc>
        <w:tc>
          <w:tcPr>
            <w:tcW w:w="467" w:type="pct"/>
            <w:vAlign w:val="center"/>
          </w:tcPr>
          <w:p w14:paraId="5B0F29F3"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-2.976</w:t>
            </w:r>
          </w:p>
        </w:tc>
        <w:tc>
          <w:tcPr>
            <w:tcW w:w="563" w:type="pct"/>
            <w:vAlign w:val="center"/>
          </w:tcPr>
          <w:p w14:paraId="6FC93494"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0.003</w:t>
            </w:r>
          </w:p>
        </w:tc>
        <w:tc>
          <w:tcPr>
            <w:tcW w:w="617" w:type="pct"/>
            <w:gridSpan w:val="2"/>
            <w:vAlign w:val="center"/>
          </w:tcPr>
          <w:p w14:paraId="14F301C9"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-0.363</w:t>
            </w:r>
          </w:p>
        </w:tc>
        <w:tc>
          <w:tcPr>
            <w:tcW w:w="678" w:type="pct"/>
            <w:vAlign w:val="center"/>
          </w:tcPr>
          <w:p w14:paraId="499844C6"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-0.074</w:t>
            </w:r>
          </w:p>
        </w:tc>
      </w:tr>
      <w:tr w:rsidR="007E1F8A" w:rsidRPr="00505B48" w14:paraId="2D4464BB" w14:textId="77777777" w:rsidTr="00505B48">
        <w:trPr>
          <w:trHeight w:val="20"/>
        </w:trPr>
        <w:tc>
          <w:tcPr>
            <w:tcW w:w="1275" w:type="pct"/>
            <w:gridSpan w:val="2"/>
            <w:vAlign w:val="center"/>
          </w:tcPr>
          <w:p w14:paraId="3A41138A" w14:textId="77777777" w:rsidR="007E1F8A" w:rsidRPr="00505B48" w:rsidRDefault="007E1F8A" w:rsidP="005534E0">
            <w:pPr>
              <w:ind w:left="270"/>
              <w:rPr>
                <w:rFonts w:ascii="Verdana" w:eastAsia="Calibri" w:hAnsi="Verdana"/>
                <w:sz w:val="18"/>
                <w:szCs w:val="18"/>
              </w:rPr>
            </w:pPr>
            <w:r w:rsidRPr="00505B48">
              <w:rPr>
                <w:rFonts w:ascii="Verdana" w:hAnsi="Verdana"/>
                <w:sz w:val="18"/>
                <w:szCs w:val="18"/>
              </w:rPr>
              <w:t>Gender</w:t>
            </w:r>
          </w:p>
        </w:tc>
        <w:tc>
          <w:tcPr>
            <w:tcW w:w="945" w:type="pct"/>
            <w:vAlign w:val="center"/>
          </w:tcPr>
          <w:p w14:paraId="6D975ABD"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-0.0466</w:t>
            </w:r>
          </w:p>
        </w:tc>
        <w:tc>
          <w:tcPr>
            <w:tcW w:w="455" w:type="pct"/>
            <w:gridSpan w:val="3"/>
            <w:vAlign w:val="center"/>
          </w:tcPr>
          <w:p w14:paraId="6280FB0C"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0.100</w:t>
            </w:r>
          </w:p>
        </w:tc>
        <w:tc>
          <w:tcPr>
            <w:tcW w:w="467" w:type="pct"/>
            <w:vAlign w:val="center"/>
          </w:tcPr>
          <w:p w14:paraId="092BD4E7"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-0.465</w:t>
            </w:r>
          </w:p>
        </w:tc>
        <w:tc>
          <w:tcPr>
            <w:tcW w:w="563" w:type="pct"/>
            <w:vAlign w:val="center"/>
          </w:tcPr>
          <w:p w14:paraId="719357B7"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0.642</w:t>
            </w:r>
          </w:p>
        </w:tc>
        <w:tc>
          <w:tcPr>
            <w:tcW w:w="617" w:type="pct"/>
            <w:gridSpan w:val="2"/>
            <w:vAlign w:val="center"/>
          </w:tcPr>
          <w:p w14:paraId="3C98F15B"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-0.244</w:t>
            </w:r>
          </w:p>
        </w:tc>
        <w:tc>
          <w:tcPr>
            <w:tcW w:w="678" w:type="pct"/>
            <w:vAlign w:val="center"/>
          </w:tcPr>
          <w:p w14:paraId="526FFCDC"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0.151</w:t>
            </w:r>
          </w:p>
        </w:tc>
      </w:tr>
      <w:tr w:rsidR="007E1F8A" w:rsidRPr="00505B48" w14:paraId="24B0BF56" w14:textId="77777777" w:rsidTr="00505B48">
        <w:trPr>
          <w:trHeight w:val="20"/>
        </w:trPr>
        <w:tc>
          <w:tcPr>
            <w:tcW w:w="1275" w:type="pct"/>
            <w:gridSpan w:val="2"/>
            <w:vAlign w:val="center"/>
          </w:tcPr>
          <w:p w14:paraId="33D9277C" w14:textId="77777777" w:rsidR="007E1F8A" w:rsidRPr="00505B48" w:rsidRDefault="007E1F8A" w:rsidP="005534E0">
            <w:pPr>
              <w:ind w:left="270"/>
              <w:rPr>
                <w:rFonts w:ascii="Verdana" w:eastAsia="Calibri" w:hAnsi="Verdana"/>
                <w:sz w:val="18"/>
                <w:szCs w:val="18"/>
              </w:rPr>
            </w:pPr>
            <w:r w:rsidRPr="00505B48">
              <w:rPr>
                <w:rFonts w:ascii="Verdana" w:hAnsi="Verdana"/>
                <w:sz w:val="18"/>
                <w:szCs w:val="18"/>
              </w:rPr>
              <w:t>Marital status</w:t>
            </w:r>
          </w:p>
        </w:tc>
        <w:tc>
          <w:tcPr>
            <w:tcW w:w="945" w:type="pct"/>
            <w:vAlign w:val="center"/>
          </w:tcPr>
          <w:p w14:paraId="2CCC99D0"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0.1944</w:t>
            </w:r>
          </w:p>
        </w:tc>
        <w:tc>
          <w:tcPr>
            <w:tcW w:w="455" w:type="pct"/>
            <w:gridSpan w:val="3"/>
            <w:vAlign w:val="center"/>
          </w:tcPr>
          <w:p w14:paraId="40358B44"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0.100</w:t>
            </w:r>
          </w:p>
        </w:tc>
        <w:tc>
          <w:tcPr>
            <w:tcW w:w="467" w:type="pct"/>
            <w:vAlign w:val="center"/>
          </w:tcPr>
          <w:p w14:paraId="612C8D36"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1.944</w:t>
            </w:r>
          </w:p>
        </w:tc>
        <w:tc>
          <w:tcPr>
            <w:tcW w:w="563" w:type="pct"/>
            <w:vAlign w:val="center"/>
          </w:tcPr>
          <w:p w14:paraId="053244D6"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0.050</w:t>
            </w:r>
          </w:p>
        </w:tc>
        <w:tc>
          <w:tcPr>
            <w:tcW w:w="617" w:type="pct"/>
            <w:gridSpan w:val="2"/>
            <w:vAlign w:val="center"/>
          </w:tcPr>
          <w:p w14:paraId="74876EA6"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-0.002</w:t>
            </w:r>
          </w:p>
        </w:tc>
        <w:tc>
          <w:tcPr>
            <w:tcW w:w="678" w:type="pct"/>
            <w:vAlign w:val="center"/>
          </w:tcPr>
          <w:p w14:paraId="0AACDD41"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0.391</w:t>
            </w:r>
          </w:p>
        </w:tc>
      </w:tr>
      <w:tr w:rsidR="007E1F8A" w:rsidRPr="00505B48" w14:paraId="342BC4D5" w14:textId="77777777" w:rsidTr="00505B48">
        <w:trPr>
          <w:trHeight w:val="20"/>
        </w:trPr>
        <w:tc>
          <w:tcPr>
            <w:tcW w:w="1275" w:type="pct"/>
            <w:gridSpan w:val="2"/>
            <w:vAlign w:val="center"/>
          </w:tcPr>
          <w:p w14:paraId="2BA90CFA" w14:textId="77777777" w:rsidR="007E1F8A" w:rsidRPr="00505B48" w:rsidRDefault="007E1F8A" w:rsidP="005534E0">
            <w:pPr>
              <w:ind w:left="270"/>
              <w:rPr>
                <w:rFonts w:ascii="Verdana" w:eastAsia="Calibri" w:hAnsi="Verdana"/>
                <w:sz w:val="18"/>
                <w:szCs w:val="18"/>
              </w:rPr>
            </w:pPr>
            <w:r w:rsidRPr="00505B48">
              <w:rPr>
                <w:rFonts w:ascii="Verdana" w:hAnsi="Verdana"/>
                <w:sz w:val="18"/>
                <w:szCs w:val="18"/>
              </w:rPr>
              <w:t>Education level</w:t>
            </w:r>
          </w:p>
        </w:tc>
        <w:tc>
          <w:tcPr>
            <w:tcW w:w="945" w:type="pct"/>
            <w:vAlign w:val="center"/>
          </w:tcPr>
          <w:p w14:paraId="0F639848"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0.1276</w:t>
            </w:r>
          </w:p>
        </w:tc>
        <w:tc>
          <w:tcPr>
            <w:tcW w:w="455" w:type="pct"/>
            <w:gridSpan w:val="3"/>
            <w:vAlign w:val="center"/>
          </w:tcPr>
          <w:p w14:paraId="7AD5C43D"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0.066</w:t>
            </w:r>
          </w:p>
        </w:tc>
        <w:tc>
          <w:tcPr>
            <w:tcW w:w="467" w:type="pct"/>
            <w:vAlign w:val="center"/>
          </w:tcPr>
          <w:p w14:paraId="75D6604D"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1.930</w:t>
            </w:r>
          </w:p>
        </w:tc>
        <w:tc>
          <w:tcPr>
            <w:tcW w:w="563" w:type="pct"/>
            <w:vAlign w:val="center"/>
          </w:tcPr>
          <w:p w14:paraId="3C396BD3"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0.047</w:t>
            </w:r>
          </w:p>
        </w:tc>
        <w:tc>
          <w:tcPr>
            <w:tcW w:w="617" w:type="pct"/>
            <w:gridSpan w:val="2"/>
            <w:vAlign w:val="center"/>
          </w:tcPr>
          <w:p w14:paraId="01EA4F41"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-0.003</w:t>
            </w:r>
          </w:p>
        </w:tc>
        <w:tc>
          <w:tcPr>
            <w:tcW w:w="678" w:type="pct"/>
            <w:vAlign w:val="center"/>
          </w:tcPr>
          <w:p w14:paraId="14EF1CAD"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0.258</w:t>
            </w:r>
          </w:p>
        </w:tc>
      </w:tr>
      <w:tr w:rsidR="007E1F8A" w:rsidRPr="00505B48" w14:paraId="4759E83C" w14:textId="77777777" w:rsidTr="00505B48">
        <w:trPr>
          <w:trHeight w:val="20"/>
        </w:trPr>
        <w:tc>
          <w:tcPr>
            <w:tcW w:w="1275" w:type="pct"/>
            <w:gridSpan w:val="2"/>
            <w:vAlign w:val="center"/>
          </w:tcPr>
          <w:p w14:paraId="0E2B01C3" w14:textId="77777777" w:rsidR="007E1F8A" w:rsidRPr="00505B48" w:rsidRDefault="007E1F8A" w:rsidP="005534E0">
            <w:pPr>
              <w:ind w:left="270"/>
              <w:rPr>
                <w:rFonts w:ascii="Verdana" w:eastAsia="Calibri" w:hAnsi="Verdana"/>
                <w:sz w:val="18"/>
                <w:szCs w:val="18"/>
              </w:rPr>
            </w:pPr>
            <w:r w:rsidRPr="00505B48">
              <w:rPr>
                <w:rFonts w:ascii="Verdana" w:hAnsi="Verdana"/>
                <w:sz w:val="18"/>
                <w:szCs w:val="18"/>
              </w:rPr>
              <w:t>monthly income</w:t>
            </w:r>
          </w:p>
        </w:tc>
        <w:tc>
          <w:tcPr>
            <w:tcW w:w="945" w:type="pct"/>
            <w:vAlign w:val="center"/>
          </w:tcPr>
          <w:p w14:paraId="22EF5C46"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0.0314</w:t>
            </w:r>
          </w:p>
        </w:tc>
        <w:tc>
          <w:tcPr>
            <w:tcW w:w="455" w:type="pct"/>
            <w:gridSpan w:val="3"/>
            <w:vAlign w:val="center"/>
          </w:tcPr>
          <w:p w14:paraId="53B3B961"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0.068</w:t>
            </w:r>
          </w:p>
        </w:tc>
        <w:tc>
          <w:tcPr>
            <w:tcW w:w="467" w:type="pct"/>
            <w:vAlign w:val="center"/>
          </w:tcPr>
          <w:p w14:paraId="30DB90CF"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0.463</w:t>
            </w:r>
          </w:p>
        </w:tc>
        <w:tc>
          <w:tcPr>
            <w:tcW w:w="563" w:type="pct"/>
            <w:vAlign w:val="center"/>
          </w:tcPr>
          <w:p w14:paraId="724F357B"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0.644</w:t>
            </w:r>
          </w:p>
        </w:tc>
        <w:tc>
          <w:tcPr>
            <w:tcW w:w="617" w:type="pct"/>
            <w:gridSpan w:val="2"/>
            <w:vAlign w:val="center"/>
          </w:tcPr>
          <w:p w14:paraId="63C3992E"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-0.102</w:t>
            </w:r>
          </w:p>
        </w:tc>
        <w:tc>
          <w:tcPr>
            <w:tcW w:w="678" w:type="pct"/>
            <w:vAlign w:val="center"/>
          </w:tcPr>
          <w:p w14:paraId="61D87052"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0.165</w:t>
            </w:r>
          </w:p>
        </w:tc>
      </w:tr>
      <w:tr w:rsidR="007E1F8A" w:rsidRPr="00505B48" w14:paraId="5E9D16A8" w14:textId="77777777" w:rsidTr="00505B48">
        <w:trPr>
          <w:trHeight w:val="20"/>
        </w:trPr>
        <w:tc>
          <w:tcPr>
            <w:tcW w:w="1275" w:type="pct"/>
            <w:gridSpan w:val="2"/>
            <w:vAlign w:val="center"/>
          </w:tcPr>
          <w:p w14:paraId="5F2F1598" w14:textId="77777777" w:rsidR="007E1F8A" w:rsidRPr="00505B48" w:rsidRDefault="007E1F8A" w:rsidP="005534E0">
            <w:pPr>
              <w:ind w:left="270"/>
              <w:rPr>
                <w:rFonts w:ascii="Verdana" w:eastAsia="Calibri" w:hAnsi="Verdana"/>
                <w:sz w:val="18"/>
                <w:szCs w:val="18"/>
              </w:rPr>
            </w:pPr>
            <w:r w:rsidRPr="00505B48">
              <w:rPr>
                <w:rFonts w:ascii="Verdana" w:hAnsi="Verdana"/>
                <w:sz w:val="18"/>
                <w:szCs w:val="18"/>
              </w:rPr>
              <w:t>Extroversion</w:t>
            </w:r>
          </w:p>
        </w:tc>
        <w:tc>
          <w:tcPr>
            <w:tcW w:w="945" w:type="pct"/>
            <w:vAlign w:val="center"/>
          </w:tcPr>
          <w:p w14:paraId="2C5C5338"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-0.2940</w:t>
            </w:r>
          </w:p>
        </w:tc>
        <w:tc>
          <w:tcPr>
            <w:tcW w:w="455" w:type="pct"/>
            <w:gridSpan w:val="3"/>
            <w:vAlign w:val="center"/>
          </w:tcPr>
          <w:p w14:paraId="6CF14D81"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0.59</w:t>
            </w:r>
          </w:p>
        </w:tc>
        <w:tc>
          <w:tcPr>
            <w:tcW w:w="467" w:type="pct"/>
            <w:vAlign w:val="center"/>
          </w:tcPr>
          <w:p w14:paraId="0037369E"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-4.953</w:t>
            </w:r>
          </w:p>
        </w:tc>
        <w:tc>
          <w:tcPr>
            <w:tcW w:w="563" w:type="pct"/>
            <w:vAlign w:val="center"/>
          </w:tcPr>
          <w:p w14:paraId="6136FC7A"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0.000</w:t>
            </w:r>
          </w:p>
        </w:tc>
        <w:tc>
          <w:tcPr>
            <w:tcW w:w="617" w:type="pct"/>
            <w:gridSpan w:val="2"/>
            <w:vAlign w:val="center"/>
          </w:tcPr>
          <w:p w14:paraId="1580AD31"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-0.411</w:t>
            </w:r>
          </w:p>
        </w:tc>
        <w:tc>
          <w:tcPr>
            <w:tcW w:w="678" w:type="pct"/>
            <w:vAlign w:val="center"/>
          </w:tcPr>
          <w:p w14:paraId="0480DCA3"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-0.177</w:t>
            </w:r>
          </w:p>
        </w:tc>
      </w:tr>
      <w:tr w:rsidR="007E1F8A" w:rsidRPr="00505B48" w14:paraId="72573A97" w14:textId="77777777" w:rsidTr="00505B48">
        <w:trPr>
          <w:trHeight w:val="20"/>
        </w:trPr>
        <w:tc>
          <w:tcPr>
            <w:tcW w:w="1275" w:type="pct"/>
            <w:gridSpan w:val="2"/>
            <w:vAlign w:val="center"/>
          </w:tcPr>
          <w:p w14:paraId="4B7B02C6" w14:textId="77777777" w:rsidR="007E1F8A" w:rsidRPr="00505B48" w:rsidRDefault="007E1F8A" w:rsidP="005534E0">
            <w:pPr>
              <w:ind w:left="270"/>
              <w:rPr>
                <w:rFonts w:ascii="Verdana" w:eastAsia="Calibri" w:hAnsi="Verdana"/>
                <w:sz w:val="18"/>
                <w:szCs w:val="18"/>
              </w:rPr>
            </w:pPr>
            <w:r w:rsidRPr="00505B48">
              <w:rPr>
                <w:rFonts w:ascii="Verdana" w:hAnsi="Verdana"/>
                <w:sz w:val="18"/>
                <w:szCs w:val="18"/>
              </w:rPr>
              <w:t>openness to experience</w:t>
            </w:r>
          </w:p>
        </w:tc>
        <w:tc>
          <w:tcPr>
            <w:tcW w:w="945" w:type="pct"/>
            <w:vAlign w:val="center"/>
          </w:tcPr>
          <w:p w14:paraId="4926344E"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0.0147</w:t>
            </w:r>
          </w:p>
        </w:tc>
        <w:tc>
          <w:tcPr>
            <w:tcW w:w="455" w:type="pct"/>
            <w:gridSpan w:val="3"/>
            <w:vAlign w:val="center"/>
          </w:tcPr>
          <w:p w14:paraId="59B16E06"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0.065</w:t>
            </w:r>
          </w:p>
        </w:tc>
        <w:tc>
          <w:tcPr>
            <w:tcW w:w="467" w:type="pct"/>
            <w:vAlign w:val="center"/>
          </w:tcPr>
          <w:p w14:paraId="06D6C648"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0.227</w:t>
            </w:r>
          </w:p>
        </w:tc>
        <w:tc>
          <w:tcPr>
            <w:tcW w:w="563" w:type="pct"/>
            <w:vAlign w:val="center"/>
          </w:tcPr>
          <w:p w14:paraId="7881736C"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0.821</w:t>
            </w:r>
          </w:p>
        </w:tc>
        <w:tc>
          <w:tcPr>
            <w:tcW w:w="617" w:type="pct"/>
            <w:gridSpan w:val="2"/>
            <w:vAlign w:val="center"/>
          </w:tcPr>
          <w:p w14:paraId="1935EA14"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-0.113</w:t>
            </w:r>
          </w:p>
        </w:tc>
        <w:tc>
          <w:tcPr>
            <w:tcW w:w="678" w:type="pct"/>
            <w:vAlign w:val="center"/>
          </w:tcPr>
          <w:p w14:paraId="4461ADD9"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0.142</w:t>
            </w:r>
          </w:p>
        </w:tc>
      </w:tr>
      <w:tr w:rsidR="007E1F8A" w:rsidRPr="00505B48" w14:paraId="2A727DCC" w14:textId="77777777" w:rsidTr="00505B48">
        <w:trPr>
          <w:trHeight w:val="20"/>
        </w:trPr>
        <w:tc>
          <w:tcPr>
            <w:tcW w:w="1275" w:type="pct"/>
            <w:gridSpan w:val="2"/>
            <w:vAlign w:val="center"/>
          </w:tcPr>
          <w:p w14:paraId="176FAE1E" w14:textId="77777777" w:rsidR="007E1F8A" w:rsidRPr="00505B48" w:rsidRDefault="007E1F8A" w:rsidP="005534E0">
            <w:pPr>
              <w:ind w:left="270"/>
              <w:rPr>
                <w:rFonts w:ascii="Verdana" w:eastAsia="Calibri" w:hAnsi="Verdana"/>
                <w:sz w:val="18"/>
                <w:szCs w:val="18"/>
              </w:rPr>
            </w:pPr>
            <w:r w:rsidRPr="00505B48">
              <w:rPr>
                <w:rFonts w:ascii="Verdana" w:hAnsi="Verdana"/>
                <w:sz w:val="18"/>
                <w:szCs w:val="18"/>
              </w:rPr>
              <w:t>Agreeableness</w:t>
            </w:r>
          </w:p>
        </w:tc>
        <w:tc>
          <w:tcPr>
            <w:tcW w:w="945" w:type="pct"/>
            <w:vAlign w:val="center"/>
          </w:tcPr>
          <w:p w14:paraId="327760BC"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0.0926</w:t>
            </w:r>
          </w:p>
        </w:tc>
        <w:tc>
          <w:tcPr>
            <w:tcW w:w="455" w:type="pct"/>
            <w:gridSpan w:val="3"/>
            <w:vAlign w:val="center"/>
          </w:tcPr>
          <w:p w14:paraId="28C6C9BD"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0.065</w:t>
            </w:r>
          </w:p>
        </w:tc>
        <w:tc>
          <w:tcPr>
            <w:tcW w:w="467" w:type="pct"/>
            <w:vAlign w:val="center"/>
          </w:tcPr>
          <w:p w14:paraId="6D362F66"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1.432</w:t>
            </w:r>
          </w:p>
        </w:tc>
        <w:tc>
          <w:tcPr>
            <w:tcW w:w="563" w:type="pct"/>
            <w:vAlign w:val="center"/>
          </w:tcPr>
          <w:p w14:paraId="52C550CB"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0.153</w:t>
            </w:r>
          </w:p>
        </w:tc>
        <w:tc>
          <w:tcPr>
            <w:tcW w:w="617" w:type="pct"/>
            <w:gridSpan w:val="2"/>
            <w:vAlign w:val="center"/>
          </w:tcPr>
          <w:p w14:paraId="76B95595"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-0.035</w:t>
            </w:r>
          </w:p>
        </w:tc>
        <w:tc>
          <w:tcPr>
            <w:tcW w:w="678" w:type="pct"/>
            <w:vAlign w:val="center"/>
          </w:tcPr>
          <w:p w14:paraId="3F152D2A"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0.220</w:t>
            </w:r>
          </w:p>
        </w:tc>
      </w:tr>
      <w:tr w:rsidR="007E1F8A" w:rsidRPr="00505B48" w14:paraId="36AE92F5" w14:textId="77777777" w:rsidTr="00505B48">
        <w:trPr>
          <w:trHeight w:val="20"/>
        </w:trPr>
        <w:tc>
          <w:tcPr>
            <w:tcW w:w="1275" w:type="pct"/>
            <w:gridSpan w:val="2"/>
            <w:vAlign w:val="center"/>
          </w:tcPr>
          <w:p w14:paraId="0550D746" w14:textId="77777777" w:rsidR="007E1F8A" w:rsidRPr="00505B48" w:rsidRDefault="007E1F8A" w:rsidP="005534E0">
            <w:pPr>
              <w:ind w:left="270"/>
              <w:rPr>
                <w:rFonts w:ascii="Verdana" w:eastAsia="Calibri" w:hAnsi="Verdana"/>
                <w:sz w:val="18"/>
                <w:szCs w:val="18"/>
              </w:rPr>
            </w:pPr>
            <w:r w:rsidRPr="00505B48">
              <w:rPr>
                <w:rFonts w:ascii="Verdana" w:hAnsi="Verdana"/>
                <w:sz w:val="18"/>
                <w:szCs w:val="18"/>
              </w:rPr>
              <w:t>Conscientiousness</w:t>
            </w:r>
          </w:p>
        </w:tc>
        <w:tc>
          <w:tcPr>
            <w:tcW w:w="945" w:type="pct"/>
            <w:vAlign w:val="center"/>
          </w:tcPr>
          <w:p w14:paraId="095F5BF2"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0.2411</w:t>
            </w:r>
          </w:p>
        </w:tc>
        <w:tc>
          <w:tcPr>
            <w:tcW w:w="455" w:type="pct"/>
            <w:gridSpan w:val="3"/>
            <w:vAlign w:val="center"/>
          </w:tcPr>
          <w:p w14:paraId="2A56F947"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0.069</w:t>
            </w:r>
          </w:p>
        </w:tc>
        <w:tc>
          <w:tcPr>
            <w:tcW w:w="467" w:type="pct"/>
            <w:vAlign w:val="center"/>
          </w:tcPr>
          <w:p w14:paraId="65A5F2A1"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3.494</w:t>
            </w:r>
          </w:p>
        </w:tc>
        <w:tc>
          <w:tcPr>
            <w:tcW w:w="563" w:type="pct"/>
            <w:vAlign w:val="center"/>
          </w:tcPr>
          <w:p w14:paraId="2A5A0286"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0.001</w:t>
            </w:r>
          </w:p>
        </w:tc>
        <w:tc>
          <w:tcPr>
            <w:tcW w:w="617" w:type="pct"/>
            <w:gridSpan w:val="2"/>
            <w:vAlign w:val="center"/>
          </w:tcPr>
          <w:p w14:paraId="5A1FA811"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0.105</w:t>
            </w:r>
          </w:p>
        </w:tc>
        <w:tc>
          <w:tcPr>
            <w:tcW w:w="678" w:type="pct"/>
            <w:vAlign w:val="center"/>
          </w:tcPr>
          <w:p w14:paraId="0B7F88C5"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0.377</w:t>
            </w:r>
          </w:p>
        </w:tc>
      </w:tr>
      <w:tr w:rsidR="007E1F8A" w:rsidRPr="00505B48" w14:paraId="1759925A" w14:textId="77777777" w:rsidTr="00505B48">
        <w:trPr>
          <w:trHeight w:val="20"/>
        </w:trPr>
        <w:tc>
          <w:tcPr>
            <w:tcW w:w="1275" w:type="pct"/>
            <w:gridSpan w:val="2"/>
            <w:vAlign w:val="center"/>
          </w:tcPr>
          <w:p w14:paraId="62488CFB" w14:textId="77777777" w:rsidR="007E1F8A" w:rsidRPr="00505B48" w:rsidRDefault="007E1F8A" w:rsidP="005534E0">
            <w:pPr>
              <w:ind w:left="270"/>
              <w:rPr>
                <w:rFonts w:ascii="Verdana" w:eastAsia="Calibri" w:hAnsi="Verdana"/>
                <w:sz w:val="18"/>
                <w:szCs w:val="18"/>
              </w:rPr>
            </w:pPr>
            <w:r w:rsidRPr="00505B48">
              <w:rPr>
                <w:rFonts w:ascii="Verdana" w:hAnsi="Verdana"/>
                <w:sz w:val="18"/>
                <w:szCs w:val="18"/>
              </w:rPr>
              <w:t>Neuroticism</w:t>
            </w:r>
          </w:p>
        </w:tc>
        <w:tc>
          <w:tcPr>
            <w:tcW w:w="945" w:type="pct"/>
            <w:vAlign w:val="center"/>
          </w:tcPr>
          <w:p w14:paraId="14555A12"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0.1336</w:t>
            </w:r>
          </w:p>
        </w:tc>
        <w:tc>
          <w:tcPr>
            <w:tcW w:w="455" w:type="pct"/>
            <w:gridSpan w:val="3"/>
            <w:vAlign w:val="center"/>
          </w:tcPr>
          <w:p w14:paraId="296D12B2"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0.059</w:t>
            </w:r>
          </w:p>
        </w:tc>
        <w:tc>
          <w:tcPr>
            <w:tcW w:w="467" w:type="pct"/>
            <w:vAlign w:val="center"/>
          </w:tcPr>
          <w:p w14:paraId="58730C4E"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2.263</w:t>
            </w:r>
          </w:p>
        </w:tc>
        <w:tc>
          <w:tcPr>
            <w:tcW w:w="563" w:type="pct"/>
            <w:vAlign w:val="center"/>
          </w:tcPr>
          <w:p w14:paraId="50ABFDC7"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0.024</w:t>
            </w:r>
          </w:p>
        </w:tc>
        <w:tc>
          <w:tcPr>
            <w:tcW w:w="617" w:type="pct"/>
            <w:gridSpan w:val="2"/>
            <w:vAlign w:val="center"/>
          </w:tcPr>
          <w:p w14:paraId="71339547"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0.017</w:t>
            </w:r>
          </w:p>
        </w:tc>
        <w:tc>
          <w:tcPr>
            <w:tcW w:w="678" w:type="pct"/>
            <w:vAlign w:val="center"/>
          </w:tcPr>
          <w:p w14:paraId="62F2CAC3" w14:textId="77777777" w:rsidR="007E1F8A" w:rsidRPr="00505B48" w:rsidRDefault="007E1F8A" w:rsidP="005534E0">
            <w:pPr>
              <w:jc w:val="center"/>
              <w:rPr>
                <w:rFonts w:ascii="Verdana" w:eastAsia="Calibri" w:hAnsi="Verdana"/>
                <w:sz w:val="18"/>
                <w:szCs w:val="18"/>
              </w:rPr>
            </w:pPr>
            <w:r w:rsidRPr="00505B48">
              <w:rPr>
                <w:rFonts w:ascii="Verdana" w:eastAsia="Calibri" w:hAnsi="Verdana"/>
                <w:sz w:val="18"/>
                <w:szCs w:val="18"/>
              </w:rPr>
              <w:t>0.250</w:t>
            </w:r>
          </w:p>
        </w:tc>
      </w:tr>
      <w:tr w:rsidR="007E1F8A" w:rsidRPr="00505B48" w14:paraId="69F16DCB" w14:textId="77777777" w:rsidTr="00505B48">
        <w:trPr>
          <w:trHeight w:val="20"/>
        </w:trPr>
        <w:tc>
          <w:tcPr>
            <w:tcW w:w="1275" w:type="pct"/>
            <w:gridSpan w:val="2"/>
            <w:tcBorders>
              <w:bottom w:val="single" w:sz="4" w:space="0" w:color="auto"/>
            </w:tcBorders>
            <w:vAlign w:val="center"/>
          </w:tcPr>
          <w:p w14:paraId="625055AB" w14:textId="77777777" w:rsidR="007E1F8A" w:rsidRPr="00505B48" w:rsidRDefault="007E1F8A" w:rsidP="005534E0">
            <w:pPr>
              <w:ind w:left="270"/>
              <w:rPr>
                <w:rFonts w:ascii="Verdana" w:hAnsi="Verdana"/>
                <w:sz w:val="18"/>
                <w:szCs w:val="18"/>
              </w:rPr>
            </w:pPr>
          </w:p>
        </w:tc>
        <w:tc>
          <w:tcPr>
            <w:tcW w:w="945" w:type="pct"/>
            <w:tcBorders>
              <w:bottom w:val="single" w:sz="4" w:space="0" w:color="auto"/>
            </w:tcBorders>
            <w:vAlign w:val="center"/>
          </w:tcPr>
          <w:p w14:paraId="3EF36C32" w14:textId="77777777" w:rsidR="007E1F8A" w:rsidRPr="00505B48" w:rsidRDefault="007E1F8A" w:rsidP="005534E0">
            <w:pPr>
              <w:rPr>
                <w:rFonts w:ascii="Verdana" w:eastAsia="Calibri" w:hAnsi="Verdana"/>
                <w:sz w:val="18"/>
                <w:szCs w:val="18"/>
              </w:rPr>
            </w:pPr>
          </w:p>
        </w:tc>
        <w:tc>
          <w:tcPr>
            <w:tcW w:w="455" w:type="pct"/>
            <w:gridSpan w:val="3"/>
            <w:tcBorders>
              <w:bottom w:val="single" w:sz="4" w:space="0" w:color="auto"/>
            </w:tcBorders>
            <w:vAlign w:val="center"/>
          </w:tcPr>
          <w:p w14:paraId="1B8A834C" w14:textId="77777777" w:rsidR="007E1F8A" w:rsidRPr="00505B48" w:rsidRDefault="007E1F8A" w:rsidP="005534E0">
            <w:pPr>
              <w:jc w:val="center"/>
              <w:rPr>
                <w:rFonts w:ascii="Verdana" w:eastAsia="Calibri" w:hAnsi="Verdana"/>
                <w:sz w:val="18"/>
                <w:szCs w:val="18"/>
              </w:rPr>
            </w:pPr>
          </w:p>
        </w:tc>
        <w:tc>
          <w:tcPr>
            <w:tcW w:w="467" w:type="pct"/>
            <w:tcBorders>
              <w:bottom w:val="single" w:sz="4" w:space="0" w:color="auto"/>
            </w:tcBorders>
            <w:vAlign w:val="center"/>
          </w:tcPr>
          <w:p w14:paraId="2BDBB8E0" w14:textId="77777777" w:rsidR="007E1F8A" w:rsidRPr="00505B48" w:rsidRDefault="007E1F8A" w:rsidP="005534E0">
            <w:pPr>
              <w:jc w:val="center"/>
              <w:rPr>
                <w:rFonts w:ascii="Verdana" w:eastAsia="Calibri" w:hAnsi="Verdana"/>
                <w:sz w:val="18"/>
                <w:szCs w:val="18"/>
              </w:rPr>
            </w:pPr>
          </w:p>
        </w:tc>
        <w:tc>
          <w:tcPr>
            <w:tcW w:w="563" w:type="pct"/>
            <w:tcBorders>
              <w:bottom w:val="single" w:sz="4" w:space="0" w:color="auto"/>
            </w:tcBorders>
            <w:vAlign w:val="center"/>
          </w:tcPr>
          <w:p w14:paraId="2750410B" w14:textId="77777777" w:rsidR="007E1F8A" w:rsidRPr="00505B48" w:rsidRDefault="007E1F8A" w:rsidP="005534E0">
            <w:pPr>
              <w:jc w:val="center"/>
              <w:rPr>
                <w:rFonts w:ascii="Verdana" w:eastAsia="Calibri" w:hAnsi="Verdana"/>
                <w:sz w:val="18"/>
                <w:szCs w:val="18"/>
              </w:rPr>
            </w:pPr>
          </w:p>
        </w:tc>
        <w:tc>
          <w:tcPr>
            <w:tcW w:w="617" w:type="pct"/>
            <w:gridSpan w:val="2"/>
            <w:tcBorders>
              <w:bottom w:val="single" w:sz="4" w:space="0" w:color="auto"/>
            </w:tcBorders>
            <w:vAlign w:val="center"/>
          </w:tcPr>
          <w:p w14:paraId="4CDC0A67" w14:textId="77777777" w:rsidR="007E1F8A" w:rsidRPr="00505B48" w:rsidRDefault="007E1F8A" w:rsidP="005534E0">
            <w:pPr>
              <w:jc w:val="center"/>
              <w:rPr>
                <w:rFonts w:ascii="Verdana" w:eastAsia="Calibri" w:hAnsi="Verdana"/>
                <w:sz w:val="18"/>
                <w:szCs w:val="18"/>
              </w:rPr>
            </w:pPr>
          </w:p>
        </w:tc>
        <w:tc>
          <w:tcPr>
            <w:tcW w:w="678" w:type="pct"/>
            <w:tcBorders>
              <w:bottom w:val="single" w:sz="4" w:space="0" w:color="auto"/>
            </w:tcBorders>
            <w:vAlign w:val="center"/>
          </w:tcPr>
          <w:p w14:paraId="3087EF3B" w14:textId="77777777" w:rsidR="007E1F8A" w:rsidRPr="00505B48" w:rsidRDefault="007E1F8A" w:rsidP="005534E0">
            <w:pPr>
              <w:jc w:val="center"/>
              <w:rPr>
                <w:rFonts w:ascii="Verdana" w:eastAsia="Calibri" w:hAnsi="Verdana"/>
                <w:sz w:val="18"/>
                <w:szCs w:val="18"/>
              </w:rPr>
            </w:pPr>
          </w:p>
        </w:tc>
      </w:tr>
    </w:tbl>
    <w:bookmarkEnd w:id="13"/>
    <w:p w14:paraId="6E0DE9E6" w14:textId="77777777" w:rsidR="007E1F8A" w:rsidRPr="00E9511D" w:rsidRDefault="007E1F8A" w:rsidP="007E1F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r w:rsidRPr="00E9511D">
        <w:rPr>
          <w:rFonts w:ascii="Verdana" w:hAnsi="Verdana"/>
          <w:sz w:val="18"/>
          <w:szCs w:val="18"/>
        </w:rPr>
        <w:t xml:space="preserve">The </w:t>
      </w:r>
      <w:proofErr w:type="spellStart"/>
      <w:r w:rsidRPr="00E9511D">
        <w:rPr>
          <w:rFonts w:ascii="Verdana" w:hAnsi="Verdana"/>
          <w:sz w:val="18"/>
          <w:szCs w:val="18"/>
        </w:rPr>
        <w:t>statiscal</w:t>
      </w:r>
      <w:proofErr w:type="spellEnd"/>
      <w:r w:rsidRPr="00E9511D">
        <w:rPr>
          <w:rFonts w:ascii="Verdana" w:hAnsi="Verdana"/>
          <w:sz w:val="18"/>
          <w:szCs w:val="18"/>
        </w:rPr>
        <w:t xml:space="preserve"> condition of the model were </w:t>
      </w:r>
    </w:p>
    <w:p w14:paraId="26D2FEA3" w14:textId="4C2D39AD" w:rsidR="007E1F8A" w:rsidRPr="00E9511D" w:rsidRDefault="007E1F8A" w:rsidP="007E1F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r w:rsidRPr="00E9511D">
        <w:rPr>
          <w:rFonts w:ascii="Verdana" w:hAnsi="Verdana"/>
          <w:sz w:val="18"/>
          <w:szCs w:val="18"/>
        </w:rPr>
        <w:t xml:space="preserve">Omnibus:                                                      14.665      </w:t>
      </w:r>
      <w:r w:rsidR="00E9511D">
        <w:rPr>
          <w:rFonts w:ascii="Verdana" w:hAnsi="Verdana"/>
          <w:sz w:val="18"/>
          <w:szCs w:val="18"/>
        </w:rPr>
        <w:t xml:space="preserve"> </w:t>
      </w:r>
      <w:r w:rsidRPr="00E9511D">
        <w:rPr>
          <w:rFonts w:ascii="Verdana" w:hAnsi="Verdana"/>
          <w:sz w:val="18"/>
          <w:szCs w:val="18"/>
        </w:rPr>
        <w:t>Durbin-Watson:                          1.9940</w:t>
      </w:r>
    </w:p>
    <w:p w14:paraId="077F8437" w14:textId="77777777" w:rsidR="007E1F8A" w:rsidRPr="00E9511D" w:rsidRDefault="007E1F8A" w:rsidP="007E1F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r w:rsidRPr="00E9511D">
        <w:rPr>
          <w:rFonts w:ascii="Verdana" w:hAnsi="Verdana"/>
          <w:sz w:val="18"/>
          <w:szCs w:val="18"/>
        </w:rPr>
        <w:t>Prob(Omnibus)                                              0.001         Jarque-Bera (JB):                        15.635</w:t>
      </w:r>
    </w:p>
    <w:p w14:paraId="41FFF305" w14:textId="61CA2173" w:rsidR="007E1F8A" w:rsidRPr="00E9511D" w:rsidRDefault="007E1F8A" w:rsidP="007E1F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Verdana" w:hAnsi="Verdana"/>
          <w:sz w:val="18"/>
          <w:szCs w:val="18"/>
        </w:rPr>
      </w:pPr>
      <w:r w:rsidRPr="00E9511D">
        <w:rPr>
          <w:rFonts w:ascii="Verdana" w:hAnsi="Verdana"/>
          <w:sz w:val="18"/>
          <w:szCs w:val="18"/>
        </w:rPr>
        <w:t>Skew:                                                           0.516         Prob(JB):                                     0.000403</w:t>
      </w:r>
    </w:p>
    <w:p w14:paraId="131AD3C5" w14:textId="44EBC796" w:rsidR="007E1F8A" w:rsidRPr="00E9511D" w:rsidRDefault="007E1F8A" w:rsidP="007E1F8A">
      <w:pPr>
        <w:rPr>
          <w:rFonts w:ascii="Verdana" w:hAnsi="Verdana"/>
          <w:sz w:val="18"/>
          <w:szCs w:val="18"/>
        </w:rPr>
      </w:pPr>
      <w:r w:rsidRPr="00E9511D">
        <w:rPr>
          <w:rFonts w:ascii="Verdana" w:hAnsi="Verdana"/>
          <w:sz w:val="18"/>
          <w:szCs w:val="18"/>
        </w:rPr>
        <w:t>Kurtosis:                                                       3.507</w:t>
      </w:r>
    </w:p>
    <w:tbl>
      <w:tblPr>
        <w:tblW w:w="5000" w:type="pct"/>
        <w:tblBorders>
          <w:top w:val="single" w:sz="4" w:space="0" w:color="auto"/>
        </w:tblBorders>
        <w:tblLook w:val="0000" w:firstRow="0" w:lastRow="0" w:firstColumn="0" w:lastColumn="0" w:noHBand="0" w:noVBand="0"/>
      </w:tblPr>
      <w:tblGrid>
        <w:gridCol w:w="9876"/>
      </w:tblGrid>
      <w:tr w:rsidR="007E1F8A" w:rsidRPr="00E9511D" w14:paraId="0868FC02" w14:textId="77777777" w:rsidTr="005534E0">
        <w:trPr>
          <w:trHeight w:val="100"/>
        </w:trPr>
        <w:tc>
          <w:tcPr>
            <w:tcW w:w="5000" w:type="pct"/>
          </w:tcPr>
          <w:p w14:paraId="073AF4F3" w14:textId="77777777" w:rsidR="007E1F8A" w:rsidRPr="00E9511D" w:rsidRDefault="007E1F8A" w:rsidP="005534E0">
            <w:pPr>
              <w:rPr>
                <w:rFonts w:ascii="Verdana" w:hAnsi="Verdana"/>
                <w:sz w:val="18"/>
                <w:szCs w:val="18"/>
              </w:rPr>
            </w:pPr>
            <w:r w:rsidRPr="00E9511D">
              <w:rPr>
                <w:rFonts w:ascii="Verdana" w:hAnsi="Verdana"/>
                <w:sz w:val="18"/>
                <w:szCs w:val="18"/>
              </w:rPr>
              <w:t>And UCL= Upper confidence level, LCL= Lower confidence level</w:t>
            </w:r>
          </w:p>
          <w:p w14:paraId="7BD3D395" w14:textId="77777777" w:rsidR="007E1F8A" w:rsidRPr="00E9511D" w:rsidRDefault="007E1F8A" w:rsidP="005534E0">
            <w:pPr>
              <w:rPr>
                <w:rFonts w:ascii="Verdana" w:hAnsi="Verdana"/>
                <w:sz w:val="18"/>
                <w:szCs w:val="18"/>
              </w:rPr>
            </w:pPr>
          </w:p>
        </w:tc>
      </w:tr>
    </w:tbl>
    <w:p w14:paraId="3E989C63" w14:textId="0B6BF117" w:rsidR="007E1F8A" w:rsidRDefault="007E1F8A" w:rsidP="00E9511D">
      <w:pPr>
        <w:ind w:left="0" w:firstLine="720"/>
        <w:rPr>
          <w:rFonts w:ascii="Verdana" w:hAnsi="Verdana"/>
          <w:sz w:val="20"/>
          <w:szCs w:val="20"/>
        </w:rPr>
      </w:pPr>
      <w:r w:rsidRPr="00195E39">
        <w:rPr>
          <w:rFonts w:ascii="Verdana" w:hAnsi="Verdana"/>
          <w:sz w:val="20"/>
          <w:szCs w:val="20"/>
        </w:rPr>
        <w:t xml:space="preserve">The regression result show that three demographic variables such as age, marital status, and education level has significant relationship with financial risk tolerance and the rest of demographic like gender and monthly income variable have insignificant relationship with financial risk tolerance. Similarly, among personality traits three dimensions including Neuroticisms, Conscientiousness and extroversion have positive significant relation with predicted variable while the rest of the </w:t>
      </w:r>
      <w:r w:rsidR="00E9511D" w:rsidRPr="00195E39">
        <w:rPr>
          <w:rFonts w:ascii="Verdana" w:hAnsi="Verdana"/>
          <w:sz w:val="20"/>
          <w:szCs w:val="20"/>
        </w:rPr>
        <w:t>two-variable</w:t>
      </w:r>
      <w:r w:rsidRPr="00195E39">
        <w:rPr>
          <w:rFonts w:ascii="Verdana" w:hAnsi="Verdana"/>
          <w:sz w:val="20"/>
          <w:szCs w:val="20"/>
        </w:rPr>
        <w:t xml:space="preserve"> including agreeableness and openness to experiences have insignificant relationship with financial risk tolerance.</w:t>
      </w:r>
    </w:p>
    <w:p w14:paraId="7591CBBA" w14:textId="77777777" w:rsidR="00E9511D" w:rsidRPr="00195E39" w:rsidRDefault="00E9511D" w:rsidP="00E9511D">
      <w:pPr>
        <w:ind w:left="0" w:firstLine="720"/>
        <w:rPr>
          <w:rFonts w:ascii="Verdana" w:hAnsi="Verdana"/>
          <w:sz w:val="20"/>
          <w:szCs w:val="20"/>
        </w:rPr>
      </w:pPr>
    </w:p>
    <w:p w14:paraId="7FB45CA0" w14:textId="7541A224" w:rsidR="007E1F8A" w:rsidRPr="00E9511D" w:rsidRDefault="007E1F8A" w:rsidP="00E9511D">
      <w:pPr>
        <w:pStyle w:val="ListParagraph"/>
        <w:numPr>
          <w:ilvl w:val="1"/>
          <w:numId w:val="39"/>
        </w:numPr>
        <w:ind w:hanging="720"/>
        <w:rPr>
          <w:rFonts w:ascii="Verdana" w:hAnsi="Verdana"/>
          <w:b/>
          <w:sz w:val="22"/>
          <w:szCs w:val="22"/>
        </w:rPr>
      </w:pPr>
      <w:r w:rsidRPr="00E9511D">
        <w:rPr>
          <w:rFonts w:ascii="Verdana" w:hAnsi="Verdana"/>
          <w:b/>
          <w:sz w:val="22"/>
          <w:szCs w:val="22"/>
        </w:rPr>
        <w:t>Results Discussion</w:t>
      </w:r>
    </w:p>
    <w:p w14:paraId="0EAD017E" w14:textId="77777777" w:rsidR="00E9511D" w:rsidRDefault="00E9511D" w:rsidP="00E9511D">
      <w:pPr>
        <w:ind w:left="0" w:firstLine="720"/>
        <w:rPr>
          <w:rFonts w:ascii="Verdana" w:hAnsi="Verdana"/>
          <w:sz w:val="20"/>
          <w:szCs w:val="20"/>
        </w:rPr>
      </w:pPr>
    </w:p>
    <w:p w14:paraId="77D5D731" w14:textId="1FF9F626" w:rsidR="00E9511D" w:rsidRDefault="007E1F8A" w:rsidP="00A60A82">
      <w:pPr>
        <w:ind w:left="0" w:firstLine="720"/>
        <w:rPr>
          <w:rFonts w:ascii="Verdana" w:hAnsi="Verdana"/>
          <w:sz w:val="20"/>
          <w:szCs w:val="20"/>
        </w:rPr>
      </w:pPr>
      <w:r w:rsidRPr="00195E39">
        <w:rPr>
          <w:rFonts w:ascii="Verdana" w:hAnsi="Verdana"/>
          <w:sz w:val="20"/>
          <w:szCs w:val="20"/>
        </w:rPr>
        <w:t xml:space="preserve">According to analysis presented in Table number 4, age has a negative significant relationship with financial risk tolerance, it reveals that financial risk tolerance decrease with aging. The finding of this research that age and financial risk tolerance has a negative significant relationship is consistent with numerous studies. For instance, </w:t>
      </w:r>
      <w:hyperlink w:anchor="_ENREF_40" w:tooltip="Lichtenstein, 1971 #54"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AuthorYear="1"&gt;&lt;Author&gt;Lichtenstein&lt;/Author&gt;&lt;Year&gt;1971&lt;/Year&gt;&lt;RecNum&gt;54&lt;/RecNum&gt;&lt;DisplayText&gt;Lichtenstein and Slovic (1971)&lt;/DisplayText&gt;&lt;record&gt;&lt;rec-number&gt;54&lt;/rec-number&gt;&lt;foreign-keys&gt;&lt;key app="EN" db-id="v5ve2td2jxzxrxee0pdpwrv99fpre2frs20r" timestamp="1703963569"&gt;54&lt;/key&gt;&lt;/foreign-keys&gt;&lt;ref-type name="Journal Article"&gt;17&lt;/ref-type&gt;&lt;contributors&gt;&lt;authors&gt;&lt;author&gt;Lichtenstein, Sarah&lt;/author&gt;&lt;author&gt;Slovic, Paul&lt;/author&gt;&lt;/authors&gt;&lt;/contributors&gt;&lt;titles&gt;&lt;title&gt;Reversals of preference between bids and choices in gambling decisions&lt;/title&gt;&lt;secondary-title&gt;Journal of experimental psychology&lt;/secondary-title&gt;&lt;/titles&gt;&lt;periodical&gt;&lt;full-title&gt;Journal of experimental psychology&lt;/full-title&gt;&lt;/periodical&gt;&lt;pages&gt;46&lt;/pages&gt;&lt;volume&gt;89&lt;/volume&gt;&lt;number&gt;1&lt;/number&gt;&lt;dates&gt;&lt;year&gt;1971&lt;/year&gt;&lt;/dates&gt;&lt;isbn&gt;0022-1015&lt;/isbn&gt;&lt;urls&gt;&lt;/urls&gt;&lt;electronic-resource-num&gt;https://doi.org/10.1037/h0031207&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Lichtenstein and Slovic (1971)</w:t>
        </w:r>
        <w:r w:rsidR="004372FE">
          <w:rPr>
            <w:rFonts w:ascii="Verdana" w:hAnsi="Verdana"/>
            <w:sz w:val="20"/>
            <w:szCs w:val="20"/>
          </w:rPr>
          <w:fldChar w:fldCharType="end"/>
        </w:r>
      </w:hyperlink>
      <w:r w:rsidR="00680152">
        <w:rPr>
          <w:rFonts w:ascii="Verdana" w:hAnsi="Verdana"/>
          <w:sz w:val="20"/>
          <w:szCs w:val="20"/>
        </w:rPr>
        <w:t xml:space="preserve"> </w:t>
      </w:r>
      <w:r w:rsidRPr="00195E39">
        <w:rPr>
          <w:rFonts w:ascii="Verdana" w:hAnsi="Verdana"/>
          <w:sz w:val="20"/>
          <w:szCs w:val="20"/>
        </w:rPr>
        <w:t>reported that younger individuals are more aggressive in risk-taking dilemmas, while older investors are risk-averse.  According to the findings of this research, older investors are less likely to take substantial risks due to life expectancy as well as familial responsibilities. They take less risk due to the fear that will lose all their saving at once.  Moreover, this declining trend in financial risk tolerance due to aging could be attributed that younger individual has more life expectancy and includes risky assets in their portfolio. The findings of this study about age and financial risk tolerance are also in line with many recent studies such as</w:t>
      </w:r>
      <w:r w:rsidR="009645AC">
        <w:rPr>
          <w:rFonts w:ascii="Verdana" w:hAnsi="Verdana"/>
          <w:sz w:val="20"/>
          <w:szCs w:val="20"/>
        </w:rPr>
        <w:t xml:space="preserve"> </w:t>
      </w:r>
      <w:r w:rsidR="009645AC">
        <w:rPr>
          <w:rFonts w:ascii="Verdana" w:hAnsi="Verdana"/>
          <w:sz w:val="20"/>
          <w:szCs w:val="20"/>
        </w:rPr>
        <w:fldChar w:fldCharType="begin"/>
      </w:r>
      <w:r w:rsidR="00216843">
        <w:rPr>
          <w:rFonts w:ascii="Verdana" w:hAnsi="Verdana"/>
          <w:sz w:val="20"/>
          <w:szCs w:val="20"/>
        </w:rPr>
        <w:instrText xml:space="preserve"> ADDIN EN.CITE &lt;EndNote&gt;&lt;Cite&gt;&lt;Author&gt;Kable&lt;/Author&gt;&lt;Year&gt;2007&lt;/Year&gt;&lt;RecNum&gt;55&lt;/RecNum&gt;&lt;DisplayText&gt;(Furnham &amp;amp; Cheng, 2017; Kable &amp;amp; Glimcher, 2007)&lt;/DisplayText&gt;&lt;record&gt;&lt;rec-number&gt;55&lt;/rec-number&gt;&lt;foreign-keys&gt;&lt;key app="EN" db-id="v5ve2td2jxzxrxee0pdpwrv99fpre2frs20r" timestamp="1703963683"&gt;55&lt;/key&gt;&lt;/foreign-keys&gt;&lt;ref-type name="Journal Article"&gt;17&lt;/ref-type&gt;&lt;contributors&gt;&lt;authors&gt;&lt;author&gt;Kable, Joseph W&lt;/author&gt;&lt;author&gt;Glimcher, Paul W&lt;/author&gt;&lt;/authors&gt;&lt;/contributors&gt;&lt;titles&gt;&lt;title&gt;The neural correlates of subjective value during intertemporal choice&lt;/title&gt;&lt;secondary-title&gt;Nature neuroscience&lt;/secondary-title&gt;&lt;/titles&gt;&lt;periodical&gt;&lt;full-title&gt;Nature neuroscience&lt;/full-title&gt;&lt;/periodical&gt;&lt;pages&gt;1625-1633&lt;/pages&gt;&lt;volume&gt;10&lt;/volume&gt;&lt;number&gt;12&lt;/number&gt;&lt;dates&gt;&lt;year&gt;2007&lt;/year&gt;&lt;/dates&gt;&lt;isbn&gt;1097-6256&lt;/isbn&gt;&lt;urls&gt;&lt;/urls&gt;&lt;electronic-resource-num&gt;https://doi.org/10.1038/nn2007&lt;/electronic-resource-num&gt;&lt;/record&gt;&lt;/Cite&gt;&lt;Cite&gt;&lt;Author&gt;Furnham&lt;/Author&gt;&lt;Year&gt;2017&lt;/Year&gt;&lt;RecNum&gt;56&lt;/RecNum&gt;&lt;record&gt;&lt;rec-number&gt;56&lt;/rec-number&gt;&lt;foreign-keys&gt;&lt;key app="EN" db-id="v5ve2td2jxzxrxee0pdpwrv99fpre2frs20r" timestamp="1703963737"&gt;56&lt;/key&gt;&lt;/foreign-keys&gt;&lt;ref-type name="Journal Article"&gt;17&lt;/ref-type&gt;&lt;contributors&gt;&lt;authors&gt;&lt;author&gt;Furnham, Adrian&lt;/author&gt;&lt;author&gt;Cheng, Helen&lt;/author&gt;&lt;/authors&gt;&lt;/contributors&gt;&lt;titles&gt;&lt;title&gt;Socio-demographic indicators, intelligence, and locus of control as predictors of adult financial well-being&lt;/title&gt;&lt;secondary-title&gt;Journal of intelligence&lt;/secondary-title&gt;&lt;/titles&gt;&lt;periodical&gt;&lt;full-title&gt;Journal of intelligence&lt;/full-title&gt;&lt;/periodical&gt;&lt;pages&gt;11&lt;/pages&gt;&lt;volume&gt;5&lt;/volume&gt;&lt;number&gt;2&lt;/number&gt;&lt;dates&gt;&lt;year&gt;2017&lt;/year&gt;&lt;/dates&gt;&lt;isbn&gt;2079-3200&lt;/isbn&gt;&lt;urls&gt;&lt;/urls&gt;&lt;electronic-resource-num&gt;https://doi.org/10.3390/jintelligence5020011&lt;/electronic-resource-num&gt;&lt;/record&gt;&lt;/Cite&gt;&lt;/EndNote&gt;</w:instrText>
      </w:r>
      <w:r w:rsidR="009645AC">
        <w:rPr>
          <w:rFonts w:ascii="Verdana" w:hAnsi="Verdana"/>
          <w:sz w:val="20"/>
          <w:szCs w:val="20"/>
        </w:rPr>
        <w:fldChar w:fldCharType="separate"/>
      </w:r>
      <w:r w:rsidR="00216843">
        <w:rPr>
          <w:rFonts w:ascii="Verdana" w:hAnsi="Verdana"/>
          <w:noProof/>
          <w:sz w:val="20"/>
          <w:szCs w:val="20"/>
        </w:rPr>
        <w:t>(</w:t>
      </w:r>
      <w:hyperlink w:anchor="_ENREF_18" w:tooltip="Furnham, 2017 #56" w:history="1">
        <w:r w:rsidR="004372FE">
          <w:rPr>
            <w:rFonts w:ascii="Verdana" w:hAnsi="Verdana"/>
            <w:noProof/>
            <w:sz w:val="20"/>
            <w:szCs w:val="20"/>
          </w:rPr>
          <w:t>Furnham &amp; Cheng, 2017</w:t>
        </w:r>
      </w:hyperlink>
      <w:r w:rsidR="00216843">
        <w:rPr>
          <w:rFonts w:ascii="Verdana" w:hAnsi="Verdana"/>
          <w:noProof/>
          <w:sz w:val="20"/>
          <w:szCs w:val="20"/>
        </w:rPr>
        <w:t xml:space="preserve">; </w:t>
      </w:r>
      <w:hyperlink w:anchor="_ENREF_33" w:tooltip="Kable, 2007 #55" w:history="1">
        <w:r w:rsidR="004372FE">
          <w:rPr>
            <w:rFonts w:ascii="Verdana" w:hAnsi="Verdana"/>
            <w:noProof/>
            <w:sz w:val="20"/>
            <w:szCs w:val="20"/>
          </w:rPr>
          <w:t>Kable &amp; Glimcher, 2007</w:t>
        </w:r>
      </w:hyperlink>
      <w:r w:rsidR="00216843">
        <w:rPr>
          <w:rFonts w:ascii="Verdana" w:hAnsi="Verdana"/>
          <w:noProof/>
          <w:sz w:val="20"/>
          <w:szCs w:val="20"/>
        </w:rPr>
        <w:t>)</w:t>
      </w:r>
      <w:r w:rsidR="009645AC">
        <w:rPr>
          <w:rFonts w:ascii="Verdana" w:hAnsi="Verdana"/>
          <w:sz w:val="20"/>
          <w:szCs w:val="20"/>
        </w:rPr>
        <w:fldChar w:fldCharType="end"/>
      </w:r>
      <w:r w:rsidR="00216843">
        <w:rPr>
          <w:rFonts w:ascii="Verdana" w:hAnsi="Verdana"/>
          <w:sz w:val="20"/>
          <w:szCs w:val="20"/>
        </w:rPr>
        <w:t xml:space="preserve">. </w:t>
      </w:r>
      <w:r w:rsidRPr="00195E39">
        <w:rPr>
          <w:rFonts w:ascii="Verdana" w:hAnsi="Verdana"/>
          <w:sz w:val="20"/>
          <w:szCs w:val="20"/>
        </w:rPr>
        <w:t xml:space="preserve">Contrary to age gender has no </w:t>
      </w:r>
      <w:r w:rsidRPr="00195E39">
        <w:rPr>
          <w:rFonts w:ascii="Verdana" w:hAnsi="Verdana"/>
          <w:sz w:val="20"/>
          <w:szCs w:val="20"/>
        </w:rPr>
        <w:lastRenderedPageBreak/>
        <w:t>relationship with financial risk tolerance as indicated by the its coefficient and concern P-Value. The same result has also been reported by</w:t>
      </w:r>
      <w:r w:rsidR="003C10BB">
        <w:rPr>
          <w:rFonts w:ascii="Verdana" w:hAnsi="Verdana"/>
          <w:sz w:val="20"/>
          <w:szCs w:val="20"/>
        </w:rPr>
        <w:t xml:space="preserve"> </w:t>
      </w:r>
      <w:hyperlink w:anchor="_ENREF_56" w:tooltip="Raveendranath, 2019 #57"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AuthorYear="1"&gt;&lt;Author&gt;Raveendranath&lt;/Author&gt;&lt;Year&gt;2019&lt;/Year&gt;&lt;RecNum&gt;57&lt;/RecNum&gt;&lt;DisplayText&gt;Raveendranath, Reddy, and Ahammad (2019)&lt;/DisplayText&gt;&lt;record&gt;&lt;rec-number&gt;57&lt;/rec-number&gt;&lt;foreign-keys&gt;&lt;key app="EN" db-id="v5ve2td2jxzxrxee0pdpwrv99fpre2frs20r" timestamp="1703963817"&gt;57&lt;/key&gt;&lt;/foreign-keys&gt;&lt;ref-type name="Journal Article"&gt;17&lt;/ref-type&gt;&lt;contributors&gt;&lt;authors&gt;&lt;author&gt;Raveendranath, R&lt;/author&gt;&lt;author&gt;Reddy, RS&lt;/author&gt;&lt;author&gt;Ahammad, D&lt;/author&gt;&lt;/authors&gt;&lt;/contributors&gt;&lt;titles&gt;&lt;title&gt;A study on the influence of demographic factors on the risk tolerance level of investors in Kurnool City&lt;/title&gt;&lt;secondary-title&gt;Journal for Studies in Management and Planning&lt;/secondary-title&gt;&lt;/titles&gt;&lt;periodical&gt;&lt;full-title&gt;Journal for Studies in Management and Planning&lt;/full-title&gt;&lt;/periodical&gt;&lt;pages&gt;1-15&lt;/pages&gt;&lt;volume&gt;5&lt;/volume&gt;&lt;number&gt;2&lt;/number&gt;&lt;dates&gt;&lt;year&gt;2019&lt;/year&gt;&lt;/dates&gt;&lt;urls&gt;&lt;/urls&gt;&lt;/record&gt;&lt;/Cite&gt;&lt;/EndNote&gt;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Raveendranath, Reddy, and Ahammad (2019)</w:t>
        </w:r>
        <w:r w:rsidR="004372FE">
          <w:rPr>
            <w:rFonts w:ascii="Verdana" w:hAnsi="Verdana"/>
            <w:sz w:val="20"/>
            <w:szCs w:val="20"/>
          </w:rPr>
          <w:fldChar w:fldCharType="end"/>
        </w:r>
      </w:hyperlink>
      <w:r w:rsidR="00120D4D">
        <w:rPr>
          <w:rFonts w:ascii="Verdana" w:hAnsi="Verdana"/>
          <w:sz w:val="20"/>
          <w:szCs w:val="20"/>
        </w:rPr>
        <w:t xml:space="preserve">. </w:t>
      </w:r>
      <w:r w:rsidRPr="00195E39">
        <w:rPr>
          <w:rFonts w:ascii="Verdana" w:hAnsi="Verdana"/>
          <w:sz w:val="20"/>
          <w:szCs w:val="20"/>
        </w:rPr>
        <w:t>One possible reason for gender differences having no influence on financial risk tolerance could cultural and social norms. This trend of gender attitude toward financial risk tolerance can also be confirmed through various recent studies such as</w:t>
      </w:r>
      <w:r w:rsidR="00824AB0">
        <w:rPr>
          <w:rFonts w:ascii="Verdana" w:hAnsi="Verdana"/>
          <w:sz w:val="20"/>
          <w:szCs w:val="20"/>
        </w:rPr>
        <w:t xml:space="preserve"> </w:t>
      </w:r>
      <w:r w:rsidR="00824AB0">
        <w:rPr>
          <w:rFonts w:ascii="Verdana" w:hAnsi="Verdana"/>
          <w:sz w:val="20"/>
          <w:szCs w:val="20"/>
        </w:rPr>
        <w:fldChar w:fldCharType="begin"/>
      </w:r>
      <w:r w:rsidR="00824AB0">
        <w:rPr>
          <w:rFonts w:ascii="Verdana" w:hAnsi="Verdana"/>
          <w:sz w:val="20"/>
          <w:szCs w:val="20"/>
        </w:rPr>
        <w:instrText xml:space="preserve"> ADDIN EN.CITE &lt;EndNote&gt;&lt;Cite&gt;&lt;Author&gt;Booth&lt;/Author&gt;&lt;Year&gt;2014&lt;/Year&gt;&lt;RecNum&gt;58&lt;/RecNum&gt;&lt;DisplayText&gt;(Booth, Cardona-Sosa, &amp;amp; Nolen, 2014)&lt;/DisplayText&gt;&lt;record&gt;&lt;rec-number&gt;58&lt;/rec-number&gt;&lt;foreign-keys&gt;&lt;key app="EN" db-id="v5ve2td2jxzxrxee0pdpwrv99fpre2frs20r" timestamp="1703963871"&gt;58&lt;/key&gt;&lt;/foreign-keys&gt;&lt;ref-type name="Journal Article"&gt;17&lt;/ref-type&gt;&lt;contributors&gt;&lt;authors&gt;&lt;author&gt;Booth, Alison&lt;/author&gt;&lt;author&gt;Cardona-Sosa, Lina&lt;/author&gt;&lt;author&gt;Nolen, Patrick&lt;/author&gt;&lt;/authors&gt;&lt;/contributors&gt;&lt;titles&gt;&lt;title&gt;Gender differences in risk aversion: Do single-sex environments affect their development?&lt;/title&gt;&lt;secondary-title&gt;Journal of economic behavior &amp;amp; organization&lt;/secondary-title&gt;&lt;/titles&gt;&lt;periodical&gt;&lt;full-title&gt;Journal of economic behavior &amp;amp; organization&lt;/full-title&gt;&lt;/periodical&gt;&lt;pages&gt;126-154&lt;/pages&gt;&lt;volume&gt;99&lt;/volume&gt;&lt;number&gt;3&lt;/number&gt;&lt;dates&gt;&lt;year&gt;2014&lt;/year&gt;&lt;/dates&gt;&lt;isbn&gt;0167-2681&lt;/isbn&gt;&lt;urls&gt;&lt;/urls&gt;&lt;electronic-resource-num&gt;https://doi.org/10.1016/j.jebo.2013.12.017&lt;/electronic-resource-num&gt;&lt;/record&gt;&lt;/Cite&gt;&lt;/EndNote&gt;</w:instrText>
      </w:r>
      <w:r w:rsidR="00824AB0">
        <w:rPr>
          <w:rFonts w:ascii="Verdana" w:hAnsi="Verdana"/>
          <w:sz w:val="20"/>
          <w:szCs w:val="20"/>
        </w:rPr>
        <w:fldChar w:fldCharType="separate"/>
      </w:r>
      <w:r w:rsidR="00824AB0">
        <w:rPr>
          <w:rFonts w:ascii="Verdana" w:hAnsi="Verdana"/>
          <w:noProof/>
          <w:sz w:val="20"/>
          <w:szCs w:val="20"/>
        </w:rPr>
        <w:t>(</w:t>
      </w:r>
      <w:hyperlink w:anchor="_ENREF_12" w:tooltip="Booth, 2014 #58" w:history="1">
        <w:r w:rsidR="004372FE">
          <w:rPr>
            <w:rFonts w:ascii="Verdana" w:hAnsi="Verdana"/>
            <w:noProof/>
            <w:sz w:val="20"/>
            <w:szCs w:val="20"/>
          </w:rPr>
          <w:t>Booth, Cardona-Sosa, &amp; Nolen, 2014</w:t>
        </w:r>
      </w:hyperlink>
      <w:r w:rsidR="00824AB0">
        <w:rPr>
          <w:rFonts w:ascii="Verdana" w:hAnsi="Verdana"/>
          <w:noProof/>
          <w:sz w:val="20"/>
          <w:szCs w:val="20"/>
        </w:rPr>
        <w:t>)</w:t>
      </w:r>
      <w:r w:rsidR="00824AB0">
        <w:rPr>
          <w:rFonts w:ascii="Verdana" w:hAnsi="Verdana"/>
          <w:sz w:val="20"/>
          <w:szCs w:val="20"/>
        </w:rPr>
        <w:fldChar w:fldCharType="end"/>
      </w:r>
      <w:r w:rsidR="00824AB0">
        <w:rPr>
          <w:rFonts w:ascii="Verdana" w:hAnsi="Verdana"/>
          <w:sz w:val="20"/>
          <w:szCs w:val="20"/>
        </w:rPr>
        <w:t xml:space="preserve">. </w:t>
      </w:r>
      <w:r w:rsidRPr="00195E39">
        <w:rPr>
          <w:rFonts w:ascii="Verdana" w:hAnsi="Verdana"/>
          <w:sz w:val="20"/>
          <w:szCs w:val="20"/>
        </w:rPr>
        <w:t>While moving on to marital status the table 4 show that marital status has a marginal positive significant relationship with financial risk tolerance. The finding of this research regarding marital status and financial risk tolerance is consistent with numerous studies. For instance, according to</w:t>
      </w:r>
      <w:r w:rsidR="00B04D89">
        <w:rPr>
          <w:rFonts w:ascii="Verdana" w:hAnsi="Verdana"/>
          <w:sz w:val="20"/>
          <w:szCs w:val="20"/>
        </w:rPr>
        <w:t xml:space="preserve"> </w:t>
      </w:r>
      <w:hyperlink w:anchor="_ENREF_2" w:tooltip="AIGBOVO-OMORUYI, 2020 #59"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AuthorYear="1"&gt;&lt;Author&gt;AIGBOVO-OMORUYI&lt;/Author&gt;&lt;Year&gt;2020&lt;/Year&gt;&lt;RecNum&gt;59&lt;/RecNum&gt;&lt;DisplayText&gt;AIGBOVO-OMORUYI and AIGBOVO (2020)&lt;/DisplayText&gt;&lt;record&gt;&lt;rec-number&gt;59&lt;/rec-number&gt;&lt;foreign-keys&gt;&lt;key app="EN" db-id="v5ve2td2jxzxrxee0pdpwrv99fpre2frs20r" timestamp="1703963997"&gt;59&lt;/key&gt;&lt;/foreign-keys&gt;&lt;ref-type name="Journal Article"&gt;17&lt;/ref-type&gt;&lt;contributors&gt;&lt;authors&gt;&lt;author&gt;AIGBOVO-OMORUYI, Osariemen&lt;/author&gt;&lt;author&gt;AIGBOVO, Omoruyi&lt;/author&gt;&lt;/authors&gt;&lt;/contributors&gt;&lt;titles&gt;&lt;title&gt;Assessing Financial Risk Tolerance Level of Individual Investors: Do Demographic Factors Matter?&lt;/title&gt;&lt;secondary-title&gt;Nigerian Journal of Risk and Insurance&lt;/secondary-title&gt;&lt;/titles&gt;&lt;periodical&gt;&lt;full-title&gt;Nigerian Journal of Risk and Insurance&lt;/full-title&gt;&lt;/periodical&gt;&lt;pages&gt;184-214&lt;/pages&gt;&lt;volume&gt;10&lt;/volume&gt;&lt;number&gt;1&lt;/number&gt;&lt;dates&gt;&lt;year&gt;2020&lt;/year&gt;&lt;/dates&gt;&lt;urls&gt;&lt;/urls&gt;&lt;/record&gt;&lt;/Cite&gt;&lt;/EndNote&gt;</w:instrText>
        </w:r>
        <w:r w:rsidR="004372FE">
          <w:rPr>
            <w:rFonts w:ascii="Verdana" w:hAnsi="Verdana"/>
            <w:sz w:val="20"/>
            <w:szCs w:val="20"/>
          </w:rPr>
          <w:fldChar w:fldCharType="separate"/>
        </w:r>
        <w:r w:rsidR="004372FE">
          <w:rPr>
            <w:rFonts w:ascii="Verdana" w:hAnsi="Verdana"/>
            <w:noProof/>
            <w:sz w:val="20"/>
            <w:szCs w:val="20"/>
          </w:rPr>
          <w:t>AIGBOVO-OMORUYI and AIGBOVO (2020)</w:t>
        </w:r>
        <w:r w:rsidR="004372FE">
          <w:rPr>
            <w:rFonts w:ascii="Verdana" w:hAnsi="Verdana"/>
            <w:sz w:val="20"/>
            <w:szCs w:val="20"/>
          </w:rPr>
          <w:fldChar w:fldCharType="end"/>
        </w:r>
      </w:hyperlink>
      <w:r w:rsidRPr="00195E39">
        <w:rPr>
          <w:rFonts w:ascii="Verdana" w:hAnsi="Verdana"/>
          <w:sz w:val="20"/>
          <w:szCs w:val="20"/>
        </w:rPr>
        <w:t xml:space="preserve">’ findings married individuals have had more comfortability with investment risk and financial knowledge.  The finding regarding education level suggests that individual with higher education are more risk tolerant than those who are less educated. The finding of this study is consistent with studies carried out by </w:t>
      </w:r>
      <w:r w:rsidR="005823B3">
        <w:rPr>
          <w:rFonts w:ascii="Verdana" w:hAnsi="Verdana"/>
          <w:sz w:val="20"/>
          <w:szCs w:val="20"/>
        </w:rPr>
        <w:fldChar w:fldCharType="begin"/>
      </w:r>
      <w:r w:rsidR="002E62C5">
        <w:rPr>
          <w:rFonts w:ascii="Verdana" w:hAnsi="Verdana"/>
          <w:sz w:val="20"/>
          <w:szCs w:val="20"/>
        </w:rPr>
        <w:instrText xml:space="preserve"> ADDIN EN.CITE &lt;EndNote&gt;&lt;Cite&gt;&lt;Author&gt;Nosita&lt;/Author&gt;&lt;Year&gt;2020&lt;/Year&gt;&lt;RecNum&gt;60&lt;/RecNum&gt;&lt;DisplayText&gt;(Bhattacharya, Dutta, &amp;amp; Kar, 2022; Nosita, Pirzada, Lestari, &amp;amp; Cahyono, 2020)&lt;/DisplayText&gt;&lt;record&gt;&lt;rec-number&gt;60&lt;/rec-number&gt;&lt;foreign-keys&gt;&lt;key app="EN" db-id="v5ve2td2jxzxrxee0pdpwrv99fpre2frs20r" timestamp="1703964055"&gt;60&lt;/key&gt;&lt;/foreign-keys&gt;&lt;ref-type name="Journal Article"&gt;17&lt;/ref-type&gt;&lt;contributors&gt;&lt;authors&gt;&lt;author&gt;Nosita, Firda&lt;/author&gt;&lt;author&gt;Pirzada, Kashan&lt;/author&gt;&lt;author&gt;Lestari, Tina&lt;/author&gt;&lt;author&gt;Cahyono, Rosadiro&lt;/author&gt;&lt;/authors&gt;&lt;/contributors&gt;&lt;titles&gt;&lt;title&gt;IMPACT OF DEMOGRAPHIC FACTORS ON RISK TOLERANCE&lt;/title&gt;&lt;secondary-title&gt;Journal of Security &amp;amp; Sustainability Issues&lt;/secondary-title&gt;&lt;/titles&gt;&lt;periodical&gt;&lt;full-title&gt;Journal of Security &amp;amp; Sustainability Issues&lt;/full-title&gt;&lt;/periodical&gt;&lt;volume&gt;9&lt;/volume&gt;&lt;number&gt;4&lt;/number&gt;&lt;dates&gt;&lt;year&gt;2020&lt;/year&gt;&lt;/dates&gt;&lt;isbn&gt;2029-7017&lt;/isbn&gt;&lt;urls&gt;&lt;/urls&gt;&lt;/record&gt;&lt;/Cite&gt;&lt;Cite&gt;&lt;Author&gt;Bhattacharya&lt;/Author&gt;&lt;Year&gt;2022&lt;/Year&gt;&lt;RecNum&gt;61&lt;/RecNum&gt;&lt;record&gt;&lt;rec-number&gt;61&lt;/rec-number&gt;&lt;foreign-keys&gt;&lt;key app="EN" db-id="v5ve2td2jxzxrxee0pdpwrv99fpre2frs20r" timestamp="1703964097"&gt;61&lt;/key&gt;&lt;/foreign-keys&gt;&lt;ref-type name="Journal Article"&gt;17&lt;/ref-type&gt;&lt;contributors&gt;&lt;authors&gt;&lt;author&gt;Bhattacharya, Amrita&lt;/author&gt;&lt;author&gt;Dutta, Avijan&lt;/author&gt;&lt;author&gt;Kar, Samarjit&lt;/author&gt;&lt;/authors&gt;&lt;/contributors&gt;&lt;titles&gt;&lt;title&gt;Does demographics influence the risk behaviour of urban investors? A machine learning model based approach&lt;/title&gt;&lt;secondary-title&gt;Operational Research in Engineering Sciences: Theory and Applications&lt;/secondary-title&gt;&lt;/titles&gt;&lt;periodical&gt;&lt;full-title&gt;Operational Research in Engineering Sciences: Theory and Applications&lt;/full-title&gt;&lt;/periodical&gt;&lt;pages&gt;190-205&lt;/pages&gt;&lt;volume&gt;5&lt;/volume&gt;&lt;number&gt;2&lt;/number&gt;&lt;dates&gt;&lt;year&gt;2022&lt;/year&gt;&lt;/dates&gt;&lt;isbn&gt;2620-1747&lt;/isbn&gt;&lt;urls&gt;&lt;/urls&gt;&lt;electronic-resource-num&gt;https://doi.org/10.31181/oresta010422181b&lt;/electronic-resource-num&gt;&lt;/record&gt;&lt;/Cite&gt;&lt;/EndNote&gt;</w:instrText>
      </w:r>
      <w:r w:rsidR="005823B3">
        <w:rPr>
          <w:rFonts w:ascii="Verdana" w:hAnsi="Verdana"/>
          <w:sz w:val="20"/>
          <w:szCs w:val="20"/>
        </w:rPr>
        <w:fldChar w:fldCharType="separate"/>
      </w:r>
      <w:r w:rsidR="004541A4">
        <w:rPr>
          <w:rFonts w:ascii="Verdana" w:hAnsi="Verdana"/>
          <w:noProof/>
          <w:sz w:val="20"/>
          <w:szCs w:val="20"/>
        </w:rPr>
        <w:t>(</w:t>
      </w:r>
      <w:hyperlink w:anchor="_ENREF_11" w:tooltip="Bhattacharya, 2022 #61" w:history="1">
        <w:r w:rsidR="004372FE">
          <w:rPr>
            <w:rFonts w:ascii="Verdana" w:hAnsi="Verdana"/>
            <w:noProof/>
            <w:sz w:val="20"/>
            <w:szCs w:val="20"/>
          </w:rPr>
          <w:t>Bhattacharya, Dutta, &amp; Kar, 2022</w:t>
        </w:r>
      </w:hyperlink>
      <w:r w:rsidR="004541A4">
        <w:rPr>
          <w:rFonts w:ascii="Verdana" w:hAnsi="Verdana"/>
          <w:noProof/>
          <w:sz w:val="20"/>
          <w:szCs w:val="20"/>
        </w:rPr>
        <w:t xml:space="preserve">; </w:t>
      </w:r>
      <w:hyperlink w:anchor="_ENREF_48" w:tooltip="Nosita, 2020 #60" w:history="1">
        <w:r w:rsidR="004372FE">
          <w:rPr>
            <w:rFonts w:ascii="Verdana" w:hAnsi="Verdana"/>
            <w:noProof/>
            <w:sz w:val="20"/>
            <w:szCs w:val="20"/>
          </w:rPr>
          <w:t>Nosita, Pirzada, Lestari, &amp; Cahyono, 2020</w:t>
        </w:r>
      </w:hyperlink>
      <w:r w:rsidR="004541A4">
        <w:rPr>
          <w:rFonts w:ascii="Verdana" w:hAnsi="Verdana"/>
          <w:noProof/>
          <w:sz w:val="20"/>
          <w:szCs w:val="20"/>
        </w:rPr>
        <w:t>)</w:t>
      </w:r>
      <w:r w:rsidR="005823B3">
        <w:rPr>
          <w:rFonts w:ascii="Verdana" w:hAnsi="Verdana"/>
          <w:sz w:val="20"/>
          <w:szCs w:val="20"/>
        </w:rPr>
        <w:fldChar w:fldCharType="end"/>
      </w:r>
      <w:r w:rsidR="002E62C5">
        <w:rPr>
          <w:rFonts w:ascii="Verdana" w:hAnsi="Verdana"/>
          <w:sz w:val="20"/>
          <w:szCs w:val="20"/>
        </w:rPr>
        <w:t>.</w:t>
      </w:r>
      <w:r w:rsidR="00922119">
        <w:rPr>
          <w:rFonts w:ascii="Verdana" w:hAnsi="Verdana"/>
          <w:sz w:val="20"/>
          <w:szCs w:val="20"/>
        </w:rPr>
        <w:t xml:space="preserve"> </w:t>
      </w:r>
      <w:r w:rsidRPr="00195E39">
        <w:rPr>
          <w:rFonts w:ascii="Verdana" w:hAnsi="Verdana"/>
          <w:sz w:val="20"/>
          <w:szCs w:val="20"/>
        </w:rPr>
        <w:t>One reason for these findings is that a higher level of education enhances one’s financial literacy as well as knowledge which can enhance one’s investment decisions. Additionally, individuals with a higher degree may have better job opportunities as well as higher income levels, which can provide greater financial security and makes them able to take significant financial risk.  Monthly income on the other hand has no significant relationship with financial risk tolerance. One possible reason for this could be one’s financial obligations which limit his/her freedom to think out of the box and take risky financial decisions. This can be affirmed by a study of</w:t>
      </w:r>
      <w:r w:rsidR="002E62C5">
        <w:rPr>
          <w:rFonts w:ascii="Verdana" w:hAnsi="Verdana"/>
          <w:sz w:val="20"/>
          <w:szCs w:val="20"/>
        </w:rPr>
        <w:t xml:space="preserve"> </w:t>
      </w:r>
      <w:r w:rsidR="002E62C5">
        <w:rPr>
          <w:rFonts w:ascii="Verdana" w:hAnsi="Verdana"/>
          <w:sz w:val="20"/>
          <w:szCs w:val="20"/>
        </w:rPr>
        <w:fldChar w:fldCharType="begin"/>
      </w:r>
      <w:r w:rsidR="00AC3993">
        <w:rPr>
          <w:rFonts w:ascii="Verdana" w:hAnsi="Verdana"/>
          <w:sz w:val="20"/>
          <w:szCs w:val="20"/>
        </w:rPr>
        <w:instrText xml:space="preserve"> ADDIN EN.CITE &lt;EndNote&gt;&lt;Cite&gt;&lt;Author&gt;Owusu&lt;/Author&gt;&lt;Year&gt;2023&lt;/Year&gt;&lt;RecNum&gt;62&lt;/RecNum&gt;&lt;DisplayText&gt;(Owusu, Korankye, Yankah, &amp;amp; Donkor, 2023)&lt;/DisplayText&gt;&lt;record&gt;&lt;rec-number&gt;62&lt;/rec-number&gt;&lt;foreign-keys&gt;&lt;key app="EN" db-id="v5ve2td2jxzxrxee0pdpwrv99fpre2frs20r" timestamp="1703964178"&gt;62&lt;/key&gt;&lt;/foreign-keys&gt;&lt;ref-type name="Journal Article"&gt;17&lt;/ref-type&gt;&lt;contributors&gt;&lt;authors&gt;&lt;author&gt;Owusu, Godfred Matthew Yaw&lt;/author&gt;&lt;author&gt;Korankye, Gabriel&lt;/author&gt;&lt;author&gt;Yankah, Nana Yaw Mark&lt;/author&gt;&lt;author&gt;Donkor, Josephine Baaba Agyekum&lt;/author&gt;&lt;/authors&gt;&lt;/contributors&gt;&lt;titles&gt;&lt;title&gt;Financial risk tolerance and its determinants: The perspective of personnel from security services in Ghana&lt;/title&gt;&lt;secondary-title&gt;Borsa Istanbul Review&lt;/secondary-title&gt;&lt;/titles&gt;&lt;periodical&gt;&lt;full-title&gt;Borsa Istanbul Review&lt;/full-title&gt;&lt;/periodical&gt;&lt;pages&gt;852-864&lt;/pages&gt;&lt;volume&gt;23&lt;/volume&gt;&lt;number&gt;4&lt;/number&gt;&lt;dates&gt;&lt;year&gt;2023&lt;/year&gt;&lt;/dates&gt;&lt;isbn&gt;2214-8450&lt;/isbn&gt;&lt;urls&gt;&lt;/urls&gt;&lt;electronic-resource-num&gt;https://doi.org/10.1016/j.bir.2023.02.005&lt;/electronic-resource-num&gt;&lt;/record&gt;&lt;/Cite&gt;&lt;/EndNote&gt;</w:instrText>
      </w:r>
      <w:r w:rsidR="002E62C5">
        <w:rPr>
          <w:rFonts w:ascii="Verdana" w:hAnsi="Verdana"/>
          <w:sz w:val="20"/>
          <w:szCs w:val="20"/>
        </w:rPr>
        <w:fldChar w:fldCharType="separate"/>
      </w:r>
      <w:r w:rsidR="002E62C5">
        <w:rPr>
          <w:rFonts w:ascii="Verdana" w:hAnsi="Verdana"/>
          <w:noProof/>
          <w:sz w:val="20"/>
          <w:szCs w:val="20"/>
        </w:rPr>
        <w:t>(</w:t>
      </w:r>
      <w:hyperlink w:anchor="_ENREF_50" w:tooltip="Owusu, 2023 #62" w:history="1">
        <w:r w:rsidR="004372FE">
          <w:rPr>
            <w:rFonts w:ascii="Verdana" w:hAnsi="Verdana"/>
            <w:noProof/>
            <w:sz w:val="20"/>
            <w:szCs w:val="20"/>
          </w:rPr>
          <w:t>Owusu, Korankye, Yankah, &amp; Donkor, 2023</w:t>
        </w:r>
      </w:hyperlink>
      <w:r w:rsidR="002E62C5">
        <w:rPr>
          <w:rFonts w:ascii="Verdana" w:hAnsi="Verdana"/>
          <w:noProof/>
          <w:sz w:val="20"/>
          <w:szCs w:val="20"/>
        </w:rPr>
        <w:t>)</w:t>
      </w:r>
      <w:r w:rsidR="002E62C5">
        <w:rPr>
          <w:rFonts w:ascii="Verdana" w:hAnsi="Verdana"/>
          <w:sz w:val="20"/>
          <w:szCs w:val="20"/>
        </w:rPr>
        <w:fldChar w:fldCharType="end"/>
      </w:r>
      <w:r w:rsidR="002E62C5">
        <w:rPr>
          <w:rFonts w:ascii="Verdana" w:hAnsi="Verdana"/>
          <w:sz w:val="20"/>
          <w:szCs w:val="20"/>
        </w:rPr>
        <w:t>.</w:t>
      </w:r>
      <w:r w:rsidR="00E66735">
        <w:rPr>
          <w:rFonts w:ascii="Verdana" w:hAnsi="Verdana"/>
          <w:sz w:val="20"/>
          <w:szCs w:val="20"/>
        </w:rPr>
        <w:t xml:space="preserve"> W</w:t>
      </w:r>
      <w:r w:rsidRPr="00195E39">
        <w:rPr>
          <w:rFonts w:ascii="Verdana" w:hAnsi="Verdana"/>
          <w:sz w:val="20"/>
          <w:szCs w:val="20"/>
        </w:rPr>
        <w:t xml:space="preserve">ho reported that an individual’s debt-to-income ratio is negatively associated with financial risk-taking. The author found that individuals with higher levels of debt relative to their income were less likely to take financial risks. The authors suggest that individuals’ financial obligations constrained them to take substantial financial risks. Another possible reason for the insignificant result between financial risk tolerance and monthly income could be an individual lifestyle and their mates. </w:t>
      </w:r>
    </w:p>
    <w:p w14:paraId="5219CD76" w14:textId="77777777" w:rsidR="00E9511D" w:rsidRDefault="00E9511D" w:rsidP="00E9511D">
      <w:pPr>
        <w:ind w:left="0" w:firstLine="720"/>
        <w:rPr>
          <w:rFonts w:ascii="Verdana" w:hAnsi="Verdana"/>
          <w:sz w:val="20"/>
          <w:szCs w:val="20"/>
        </w:rPr>
      </w:pPr>
    </w:p>
    <w:p w14:paraId="03F0447E" w14:textId="25066BD1" w:rsidR="007E1F8A" w:rsidRDefault="000E5FE0" w:rsidP="00A60A82">
      <w:pPr>
        <w:ind w:left="0" w:firstLine="720"/>
        <w:rPr>
          <w:rFonts w:ascii="Verdana" w:hAnsi="Verdana"/>
          <w:sz w:val="20"/>
          <w:szCs w:val="20"/>
        </w:rPr>
      </w:pPr>
      <w:r>
        <w:rPr>
          <w:rFonts w:ascii="Verdana" w:hAnsi="Verdana"/>
          <w:sz w:val="20"/>
          <w:szCs w:val="20"/>
        </w:rPr>
        <w:t xml:space="preserve"> </w:t>
      </w:r>
      <w:r w:rsidR="007E1F8A" w:rsidRPr="00195E39">
        <w:rPr>
          <w:rFonts w:ascii="Verdana" w:hAnsi="Verdana"/>
          <w:sz w:val="20"/>
          <w:szCs w:val="20"/>
        </w:rPr>
        <w:t>Personality plays a vital role in financial decision making. According to the finding of this study more extrovert have lower level of financial risk tolerance, and the relationship is significant. The finding of this study regarding extroversion and financial risk tolerance is consistent with</w:t>
      </w:r>
      <w:r w:rsidR="00AC3993">
        <w:rPr>
          <w:rFonts w:ascii="Verdana" w:hAnsi="Verdana"/>
          <w:sz w:val="20"/>
          <w:szCs w:val="20"/>
        </w:rPr>
        <w:t xml:space="preserve"> </w:t>
      </w:r>
      <w:r w:rsidR="00AC3993">
        <w:rPr>
          <w:rFonts w:ascii="Verdana" w:hAnsi="Verdana"/>
          <w:sz w:val="20"/>
          <w:szCs w:val="20"/>
        </w:rPr>
        <w:fldChar w:fldCharType="begin"/>
      </w:r>
      <w:r w:rsidR="00AC3993">
        <w:rPr>
          <w:rFonts w:ascii="Verdana" w:hAnsi="Verdana"/>
          <w:sz w:val="20"/>
          <w:szCs w:val="20"/>
        </w:rPr>
        <w:instrText xml:space="preserve"> ADDIN EN.CITE &lt;EndNote&gt;&lt;Cite&gt;&lt;Author&gt;Mehregan&lt;/Author&gt;&lt;Year&gt;2019&lt;/Year&gt;&lt;RecNum&gt;63&lt;/RecNum&gt;&lt;DisplayText&gt;(Mehregan, Hosseinzadeh, &amp;amp; Emadi, 2019)&lt;/DisplayText&gt;&lt;record&gt;&lt;rec-number&gt;63&lt;/rec-number&gt;&lt;foreign-keys&gt;&lt;key app="EN" db-id="v5ve2td2jxzxrxee0pdpwrv99fpre2frs20r" timestamp="1703964411"&gt;63&lt;/key&gt;&lt;/foreign-keys&gt;&lt;ref-type name="Journal Article"&gt;17&lt;/ref-type&gt;&lt;contributors&gt;&lt;authors&gt;&lt;author&gt;Mehregan, Mohammad Reza&lt;/author&gt;&lt;author&gt;Hosseinzadeh, Mahnaz&lt;/author&gt;&lt;author&gt;Emadi, Mohammad Mehdi&lt;/author&gt;&lt;/authors&gt;&lt;/contributors&gt;&lt;titles&gt;&lt;title&gt;The mediating role of affect in the relationship between the big five factor personality and risk aversion: A structural model&lt;/title&gt;&lt;secondary-title&gt;International journal of applied behavioral sciences&lt;/secondary-title&gt;&lt;/titles&gt;&lt;periodical&gt;&lt;full-title&gt;International journal of applied behavioral sciences&lt;/full-title&gt;&lt;/periodical&gt;&lt;pages&gt;28-36&lt;/pages&gt;&lt;volume&gt;5&lt;/volume&gt;&lt;number&gt;2&lt;/number&gt;&lt;dates&gt;&lt;year&gt;2019&lt;/year&gt;&lt;/dates&gt;&lt;urls&gt;&lt;/urls&gt;&lt;/record&gt;&lt;/Cite&gt;&lt;/EndNote&gt;</w:instrText>
      </w:r>
      <w:r w:rsidR="00AC3993">
        <w:rPr>
          <w:rFonts w:ascii="Verdana" w:hAnsi="Verdana"/>
          <w:sz w:val="20"/>
          <w:szCs w:val="20"/>
        </w:rPr>
        <w:fldChar w:fldCharType="separate"/>
      </w:r>
      <w:r w:rsidR="00AC3993">
        <w:rPr>
          <w:rFonts w:ascii="Verdana" w:hAnsi="Verdana"/>
          <w:noProof/>
          <w:sz w:val="20"/>
          <w:szCs w:val="20"/>
        </w:rPr>
        <w:t>(</w:t>
      </w:r>
      <w:hyperlink w:anchor="_ENREF_44" w:tooltip="Mehregan, 2019 #63" w:history="1">
        <w:r w:rsidR="004372FE">
          <w:rPr>
            <w:rFonts w:ascii="Verdana" w:hAnsi="Verdana"/>
            <w:noProof/>
            <w:sz w:val="20"/>
            <w:szCs w:val="20"/>
          </w:rPr>
          <w:t>Mehregan, Hosseinzadeh, &amp; Emadi, 2019</w:t>
        </w:r>
      </w:hyperlink>
      <w:r w:rsidR="00AC3993">
        <w:rPr>
          <w:rFonts w:ascii="Verdana" w:hAnsi="Verdana"/>
          <w:noProof/>
          <w:sz w:val="20"/>
          <w:szCs w:val="20"/>
        </w:rPr>
        <w:t>)</w:t>
      </w:r>
      <w:r w:rsidR="00AC3993">
        <w:rPr>
          <w:rFonts w:ascii="Verdana" w:hAnsi="Verdana"/>
          <w:sz w:val="20"/>
          <w:szCs w:val="20"/>
        </w:rPr>
        <w:fldChar w:fldCharType="end"/>
      </w:r>
      <w:r w:rsidR="00AC3993">
        <w:rPr>
          <w:rFonts w:ascii="Verdana" w:hAnsi="Verdana"/>
          <w:sz w:val="20"/>
          <w:szCs w:val="20"/>
        </w:rPr>
        <w:t xml:space="preserve">. </w:t>
      </w:r>
      <w:r w:rsidR="007E1F8A" w:rsidRPr="00195E39">
        <w:rPr>
          <w:rFonts w:ascii="Verdana" w:hAnsi="Verdana"/>
          <w:sz w:val="20"/>
          <w:szCs w:val="20"/>
        </w:rPr>
        <w:t>Conversely, openness to experiences does not significantly impact financial risk tolerance. There is a weak in significant relationship between openness to experiences and financial risk tolerance. The finding is consistent with several previous studies. The study by</w:t>
      </w:r>
      <w:r w:rsidR="00991528">
        <w:rPr>
          <w:rFonts w:ascii="Verdana" w:hAnsi="Verdana"/>
          <w:sz w:val="20"/>
          <w:szCs w:val="20"/>
        </w:rPr>
        <w:t xml:space="preserve"> </w:t>
      </w:r>
      <w:hyperlink w:anchor="_ENREF_18" w:tooltip="Furnham, 2017 #56"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AuthorYear="1"&gt;&lt;Author&gt;Furnham&lt;/Author&gt;&lt;Year&gt;2017&lt;/Year&gt;&lt;RecNum&gt;56&lt;/RecNum&gt;&lt;DisplayText&gt;Furnham and Cheng (2017)&lt;/DisplayText&gt;&lt;record&gt;&lt;rec-number&gt;56&lt;/rec-number&gt;&lt;foreign-keys&gt;&lt;key app="EN" db-id="v5ve2td2jxzxrxee0pdpwrv99fpre2frs20r" timestamp="1703963737"&gt;56&lt;/key&gt;&lt;/foreign-keys&gt;&lt;ref-type name="Journal Article"&gt;17&lt;/ref-type&gt;&lt;contributors&gt;&lt;authors&gt;&lt;author&gt;Furnham, Adrian&lt;/author&gt;&lt;author&gt;Cheng, Helen&lt;/author&gt;&lt;/authors&gt;&lt;/contributors&gt;&lt;titles&gt;&lt;title&gt;Socio-demographic indicators, intelligence, and locus of control as predictors of adult financial well-being&lt;/title&gt;&lt;secondary-title&gt;Journal of intelligence&lt;/secondary-title&gt;&lt;/titles&gt;&lt;periodical&gt;&lt;full-title&gt;Journal of intelligence&lt;/full-title&gt;&lt;/periodical&gt;&lt;pages&gt;11&lt;/pages&gt;&lt;volume&gt;5&lt;/volume&gt;&lt;number&gt;2&lt;/number&gt;&lt;dates&gt;&lt;year&gt;2017&lt;/year&gt;&lt;/dates&gt;&lt;isbn&gt;2079-3200&lt;/isbn&gt;&lt;urls&gt;&lt;/urls&gt;&lt;electronic-resource-num&gt;https://doi.org/10.3390/jintelligence5020011&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Furnham and Cheng (2017)</w:t>
        </w:r>
        <w:r w:rsidR="004372FE">
          <w:rPr>
            <w:rFonts w:ascii="Verdana" w:hAnsi="Verdana"/>
            <w:sz w:val="20"/>
            <w:szCs w:val="20"/>
          </w:rPr>
          <w:fldChar w:fldCharType="end"/>
        </w:r>
      </w:hyperlink>
      <w:r w:rsidR="00991528">
        <w:rPr>
          <w:rFonts w:ascii="Verdana" w:hAnsi="Verdana"/>
          <w:sz w:val="20"/>
          <w:szCs w:val="20"/>
        </w:rPr>
        <w:t xml:space="preserve"> </w:t>
      </w:r>
      <w:r w:rsidR="007E1F8A" w:rsidRPr="00195E39">
        <w:rPr>
          <w:rFonts w:ascii="Verdana" w:hAnsi="Verdana"/>
          <w:sz w:val="20"/>
          <w:szCs w:val="20"/>
        </w:rPr>
        <w:t>is an excellent example of how there may not always be a clear correlation between openness to experience and financial risk tolerance. According to them, people who have high openness to experience tend to be more open to new ideas and experiences, this does not necessarily mean that they will take more financial risks. Similarly, agreeableness has a weak insignificant relationship with financial risk tolerance. Which is consistent with various previous studies performed by</w:t>
      </w:r>
      <w:r w:rsidR="00793A2C">
        <w:rPr>
          <w:rFonts w:ascii="Verdana" w:hAnsi="Verdana"/>
          <w:sz w:val="20"/>
          <w:szCs w:val="20"/>
        </w:rPr>
        <w:t xml:space="preserve"> </w:t>
      </w:r>
      <w:hyperlink w:anchor="_ENREF_46" w:tooltip="Mukhtar, 2023 #64"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AuthorYear="1"&gt;&lt;Author&gt;Mukhtar&lt;/Author&gt;&lt;Year&gt;2023&lt;/Year&gt;&lt;RecNum&gt;64&lt;/RecNum&gt;&lt;DisplayText&gt;Mukhtar and Jan (2023)&lt;/DisplayText&gt;&lt;record&gt;&lt;rec-number&gt;64&lt;/rec-number&gt;&lt;foreign-keys&gt;&lt;key app="EN" db-id="v5ve2td2jxzxrxee0pdpwrv99fpre2frs20r" timestamp="1703964593"&gt;64&lt;/key&gt;&lt;/foreign-keys&gt;&lt;ref-type name="Journal Article"&gt;17&lt;/ref-type&gt;&lt;contributors&gt;&lt;authors&gt;&lt;author&gt;Mukhtar, Shakira&lt;/author&gt;&lt;author&gt;Jan, Anisa&lt;/author&gt;&lt;/authors&gt;&lt;/contributors&gt;&lt;titles&gt;&lt;title&gt;Individual Investors Financial Risk Tolerance and Personality Traits. A Systematic Review and Future Research Direction&lt;/title&gt;&lt;secondary-title&gt;Integrated Journal for Research in Arts and Humanities&lt;/secondary-title&gt;&lt;/titles&gt;&lt;periodical&gt;&lt;full-title&gt;Integrated Journal for Research in Arts and Humanities&lt;/full-title&gt;&lt;/periodical&gt;&lt;pages&gt;89-104&lt;/pages&gt;&lt;volume&gt;3&lt;/volume&gt;&lt;number&gt;6&lt;/number&gt;&lt;dates&gt;&lt;year&gt;2023&lt;/year&gt;&lt;/dates&gt;&lt;isbn&gt;2583-1712&lt;/isbn&gt;&lt;urls&gt;&lt;/urls&gt;&lt;electronic-resource-num&gt;https://doi.org/10.55544/ijrah.3.6.11&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Mukhtar and Jan (2023)</w:t>
        </w:r>
        <w:r w:rsidR="004372FE">
          <w:rPr>
            <w:rFonts w:ascii="Verdana" w:hAnsi="Verdana"/>
            <w:sz w:val="20"/>
            <w:szCs w:val="20"/>
          </w:rPr>
          <w:fldChar w:fldCharType="end"/>
        </w:r>
      </w:hyperlink>
      <w:r w:rsidR="00793A2C">
        <w:rPr>
          <w:rFonts w:ascii="Verdana" w:hAnsi="Verdana"/>
          <w:sz w:val="20"/>
          <w:szCs w:val="20"/>
        </w:rPr>
        <w:t>.</w:t>
      </w:r>
      <w:r w:rsidR="006E6C86">
        <w:rPr>
          <w:rFonts w:ascii="Verdana" w:hAnsi="Verdana"/>
          <w:sz w:val="20"/>
          <w:szCs w:val="20"/>
        </w:rPr>
        <w:t xml:space="preserve"> </w:t>
      </w:r>
      <w:r w:rsidR="007E1F8A" w:rsidRPr="00195E39">
        <w:rPr>
          <w:rFonts w:ascii="Verdana" w:hAnsi="Verdana"/>
          <w:sz w:val="20"/>
          <w:szCs w:val="20"/>
        </w:rPr>
        <w:t>Finally, neuroticism has a positive significant relationship with financial risk tolerance.  The result of this research regarding neuroticism and financial risk tolerance is consistent with various studies for example a study by</w:t>
      </w:r>
      <w:r w:rsidR="00AD5193">
        <w:rPr>
          <w:rFonts w:ascii="Verdana" w:hAnsi="Verdana"/>
          <w:sz w:val="20"/>
          <w:szCs w:val="20"/>
        </w:rPr>
        <w:t xml:space="preserve"> </w:t>
      </w:r>
      <w:hyperlink w:anchor="_ENREF_28" w:tooltip="Hanoch, 2004 #65"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AuthorYear="1"&gt;&lt;Author&gt;Hanoch&lt;/Author&gt;&lt;Year&gt;2004&lt;/Year&gt;&lt;RecNum&gt;65&lt;/RecNum&gt;&lt;DisplayText&gt;Hanoch and Vitouch (2004)&lt;/DisplayText&gt;&lt;record&gt;&lt;rec-number&gt;65&lt;/rec-number&gt;&lt;foreign-keys&gt;&lt;key app="EN" db-id="v5ve2td2jxzxrxee0pdpwrv99fpre2frs20r" timestamp="1703964660"&gt;65&lt;/key&gt;&lt;/foreign-keys&gt;&lt;ref-type name="Journal Article"&gt;17&lt;/ref-type&gt;&lt;contributors&gt;&lt;authors&gt;&lt;author&gt;Hanoch, Yaniv&lt;/author&gt;&lt;author&gt;Vitouch, Oliver&lt;/author&gt;&lt;/authors&gt;&lt;/contributors&gt;&lt;titles&gt;&lt;title&gt;When less is more: Information, emotional arousal and the ecological reframing of the Yerkes-Dodson law&lt;/title&gt;&lt;secondary-title&gt;Theory &amp;amp; Psychology&lt;/secondary-title&gt;&lt;/titles&gt;&lt;periodical&gt;&lt;full-title&gt;Theory &amp;amp; Psychology&lt;/full-title&gt;&lt;/periodical&gt;&lt;pages&gt;427-452&lt;/pages&gt;&lt;volume&gt;14&lt;/volume&gt;&lt;number&gt;4&lt;/number&gt;&lt;dates&gt;&lt;year&gt;2004&lt;/year&gt;&lt;/dates&gt;&lt;isbn&gt;0959-3543&lt;/isbn&gt;&lt;urls&gt;&lt;/urls&gt;&lt;electronic-resource-num&gt;https://doi.org/10.1177/0959354304044918&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Hanoch and Vitouch (2004)</w:t>
        </w:r>
        <w:r w:rsidR="004372FE">
          <w:rPr>
            <w:rFonts w:ascii="Verdana" w:hAnsi="Verdana"/>
            <w:sz w:val="20"/>
            <w:szCs w:val="20"/>
          </w:rPr>
          <w:fldChar w:fldCharType="end"/>
        </w:r>
      </w:hyperlink>
      <w:r w:rsidR="007E1F8A" w:rsidRPr="00195E39">
        <w:rPr>
          <w:rFonts w:ascii="Verdana" w:hAnsi="Verdana"/>
          <w:sz w:val="20"/>
          <w:szCs w:val="20"/>
        </w:rPr>
        <w:t xml:space="preserve"> reported that individuals with high levels of neuroticism are more likely to engage in risky financial behavior. This may seem surprising given that neuroticism is typically linked to unfavorable feelings, anxiety, and a propensity to shun risks. There are, however, several interpretations that could apply to these findings. Firstly, it is probable that some people with high levels of neuroticism will practice risky financial behavior to deal with their worries or other unpleasant feelings. Finally, conscientiousness, has also positive significant relationship with financial risk tolerance. This means that individuals with a higher level of conscientiousness, are more willing to tolerate financial risk. Various previous studies are in line with the finding of this research regarding conscientiousness and financial risk tolerance. For example, a study by</w:t>
      </w:r>
      <w:r w:rsidR="00660F1D">
        <w:rPr>
          <w:rFonts w:ascii="Verdana" w:hAnsi="Verdana"/>
          <w:sz w:val="20"/>
          <w:szCs w:val="20"/>
        </w:rPr>
        <w:t xml:space="preserve"> </w:t>
      </w:r>
      <w:hyperlink w:anchor="_ENREF_18" w:tooltip="Furnham, 2017 #56"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AuthorYear="1"&gt;&lt;Author&gt;Furnham&lt;/Author&gt;&lt;Year&gt;2017&lt;/Year&gt;&lt;RecNum&gt;56&lt;/RecNum&gt;&lt;DisplayText&gt;Furnham and Cheng (2017)&lt;/DisplayText&gt;&lt;record&gt;&lt;rec-number&gt;56&lt;/rec-number&gt;&lt;foreign-keys&gt;&lt;key app="EN" db-id="v5ve2td2jxzxrxee0pdpwrv99fpre2frs20r" timestamp="1703963737"&gt;56&lt;/key&gt;&lt;/foreign-keys&gt;&lt;ref-type name="Journal Article"&gt;17&lt;/ref-type&gt;&lt;contributors&gt;&lt;authors&gt;&lt;author&gt;Furnham, Adrian&lt;/author&gt;&lt;author&gt;Cheng, Helen&lt;/author&gt;&lt;/authors&gt;&lt;/contributors&gt;&lt;titles&gt;&lt;title&gt;Socio-demographic indicators, intelligence, and locus of control as predictors of adult financial well-being&lt;/title&gt;&lt;secondary-title&gt;Journal of intelligence&lt;/secondary-title&gt;&lt;/titles&gt;&lt;periodical&gt;&lt;full-title&gt;Journal of intelligence&lt;/full-title&gt;&lt;/periodical&gt;&lt;pages&gt;11&lt;/pages&gt;&lt;volume&gt;5&lt;/volume&gt;&lt;number&gt;2&lt;/number&gt;&lt;dates&gt;&lt;year&gt;2017&lt;/year&gt;&lt;/dates&gt;&lt;isbn&gt;2079-3200&lt;/isbn&gt;&lt;urls&gt;&lt;/urls&gt;&lt;electronic-resource-num&gt;https://doi.org/10.3390/jintelligence5020011&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Furnham and Cheng (2017)</w:t>
        </w:r>
        <w:r w:rsidR="004372FE">
          <w:rPr>
            <w:rFonts w:ascii="Verdana" w:hAnsi="Verdana"/>
            <w:sz w:val="20"/>
            <w:szCs w:val="20"/>
          </w:rPr>
          <w:fldChar w:fldCharType="end"/>
        </w:r>
      </w:hyperlink>
      <w:r w:rsidR="007E1F8A" w:rsidRPr="00195E39">
        <w:rPr>
          <w:rFonts w:ascii="Verdana" w:hAnsi="Verdana"/>
          <w:sz w:val="20"/>
          <w:szCs w:val="20"/>
        </w:rPr>
        <w:t xml:space="preserve"> reported that individuals who score high on conscientiousness tend to exhibit risky financial behavior. Similarly, </w:t>
      </w:r>
      <w:hyperlink w:anchor="_ENREF_46" w:tooltip="Mukhtar, 2023 #64"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AuthorYear="1"&gt;&lt;Author&gt;Mukhtar&lt;/Author&gt;&lt;Year&gt;2023&lt;/Year&gt;&lt;RecNum&gt;64&lt;/RecNum&gt;&lt;DisplayText&gt;Mukhtar and Jan (2023)&lt;/DisplayText&gt;&lt;record&gt;&lt;rec-number&gt;64&lt;/rec-number&gt;&lt;foreign-keys&gt;&lt;key app="EN" db-id="v5ve2td2jxzxrxee0pdpwrv99fpre2frs20r" timestamp="1703964593"&gt;64&lt;/key&gt;&lt;/foreign-keys&gt;&lt;ref-type name="Journal Article"&gt;17&lt;/ref-type&gt;&lt;contributors&gt;&lt;authors&gt;&lt;author&gt;Mukhtar, Shakira&lt;/author&gt;&lt;author&gt;Jan, Anisa&lt;/author&gt;&lt;/authors&gt;&lt;/contributors&gt;&lt;titles&gt;&lt;title&gt;Individual Investors Financial Risk Tolerance and Personality Traits. A Systematic Review and Future Research Direction&lt;/title&gt;&lt;secondary-title&gt;Integrated Journal for Research in Arts and Humanities&lt;/secondary-title&gt;&lt;/titles&gt;&lt;periodical&gt;&lt;full-title&gt;Integrated Journal for Research in Arts and Humanities&lt;/full-title&gt;&lt;/periodical&gt;&lt;pages&gt;89-104&lt;/pages&gt;&lt;volume&gt;3&lt;/volume&gt;&lt;number&gt;6&lt;/number&gt;&lt;dates&gt;&lt;year&gt;2023&lt;/year&gt;&lt;/dates&gt;&lt;isbn&gt;2583-1712&lt;/isbn&gt;&lt;urls&gt;&lt;/urls&gt;&lt;electronic-resource-num&gt;https://doi.org/10.55544/ijrah.3.6.11&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Mukhtar and Jan (2023)</w:t>
        </w:r>
        <w:r w:rsidR="004372FE">
          <w:rPr>
            <w:rFonts w:ascii="Verdana" w:hAnsi="Verdana"/>
            <w:sz w:val="20"/>
            <w:szCs w:val="20"/>
          </w:rPr>
          <w:fldChar w:fldCharType="end"/>
        </w:r>
      </w:hyperlink>
      <w:r w:rsidR="00CC006E">
        <w:rPr>
          <w:rFonts w:ascii="Verdana" w:hAnsi="Verdana"/>
          <w:sz w:val="20"/>
          <w:szCs w:val="20"/>
        </w:rPr>
        <w:t xml:space="preserve"> </w:t>
      </w:r>
      <w:r w:rsidR="007E1F8A" w:rsidRPr="00195E39">
        <w:rPr>
          <w:rFonts w:ascii="Verdana" w:hAnsi="Verdana"/>
          <w:sz w:val="20"/>
          <w:szCs w:val="20"/>
        </w:rPr>
        <w:t>Mukhtar and Jan, (2023) reported that individuals who are rich with conscientiousness were more likely to save for retirement and invest in long-term financial planning. Moreover,</w:t>
      </w:r>
      <w:r w:rsidR="00CC006E">
        <w:rPr>
          <w:rFonts w:ascii="Verdana" w:hAnsi="Verdana"/>
          <w:sz w:val="20"/>
          <w:szCs w:val="20"/>
        </w:rPr>
        <w:t xml:space="preserve"> </w:t>
      </w:r>
      <w:hyperlink w:anchor="_ENREF_13" w:tooltip="Boyce, 2016 #66" w:history="1">
        <w:r w:rsidR="004372FE">
          <w:rPr>
            <w:rFonts w:ascii="Verdana" w:hAnsi="Verdana"/>
            <w:sz w:val="20"/>
            <w:szCs w:val="20"/>
          </w:rPr>
          <w:fldChar w:fldCharType="begin"/>
        </w:r>
        <w:r w:rsidR="004372FE">
          <w:rPr>
            <w:rFonts w:ascii="Verdana" w:hAnsi="Verdana"/>
            <w:sz w:val="20"/>
            <w:szCs w:val="20"/>
          </w:rPr>
          <w:instrText xml:space="preserve"> ADDIN EN.CITE &lt;EndNote&gt;&lt;Cite AuthorYear="1"&gt;&lt;Author&gt;Boyce&lt;/Author&gt;&lt;Year&gt;2016&lt;/Year&gt;&lt;RecNum&gt;66&lt;/RecNum&gt;&lt;DisplayText&gt;Boyce, Wood, and Ferguson (2016)&lt;/DisplayText&gt;&lt;record&gt;&lt;rec-number&gt;66&lt;/rec-number&gt;&lt;foreign-keys&gt;&lt;key app="EN" db-id="v5ve2td2jxzxrxee0pdpwrv99fpre2frs20r" timestamp="1703964852"&gt;66&lt;/key&gt;&lt;/foreign-keys&gt;&lt;ref-type name="Journal Article"&gt;17&lt;/ref-type&gt;&lt;contributors&gt;&lt;authors&gt;&lt;author&gt;Boyce, Christopher J&lt;/author&gt;&lt;author&gt;Wood, Alex M&lt;/author&gt;&lt;author&gt;Ferguson, Eamonn&lt;/author&gt;&lt;/authors&gt;&lt;/contributors&gt;&lt;titles&gt;&lt;title&gt;For better or for worse: The moderating effects of personality on the marriage-life satisfaction link&lt;/title&gt;&lt;secondary-title&gt;Personality and Individual Differences&lt;/secondary-title&gt;&lt;/titles&gt;&lt;periodical&gt;&lt;full-title&gt;Personality and Individual Differences&lt;/full-title&gt;&lt;/periodical&gt;&lt;pages&gt;61-66&lt;/pages&gt;&lt;volume&gt;97&lt;/volume&gt;&lt;number&gt;7&lt;/number&gt;&lt;dates&gt;&lt;year&gt;2016&lt;/year&gt;&lt;/dates&gt;&lt;isbn&gt;0191-8869&lt;/isbn&gt;&lt;urls&gt;&lt;/urls&gt;&lt;electronic-resource-num&gt;https://doi.org/10.1016/j.paid.2016.03.005&lt;/electronic-resource-num&gt;&lt;/record&gt;&lt;/Cite&gt;&lt;/EndNote&gt;</w:instrText>
        </w:r>
        <w:r w:rsidR="004372FE">
          <w:rPr>
            <w:rFonts w:ascii="Verdana" w:hAnsi="Verdana"/>
            <w:sz w:val="20"/>
            <w:szCs w:val="20"/>
          </w:rPr>
          <w:fldChar w:fldCharType="separate"/>
        </w:r>
        <w:r w:rsidR="004372FE">
          <w:rPr>
            <w:rFonts w:ascii="Verdana" w:hAnsi="Verdana"/>
            <w:noProof/>
            <w:sz w:val="20"/>
            <w:szCs w:val="20"/>
          </w:rPr>
          <w:t xml:space="preserve">Boyce, </w:t>
        </w:r>
        <w:r w:rsidR="004372FE">
          <w:rPr>
            <w:rFonts w:ascii="Verdana" w:hAnsi="Verdana"/>
            <w:noProof/>
            <w:sz w:val="20"/>
            <w:szCs w:val="20"/>
          </w:rPr>
          <w:lastRenderedPageBreak/>
          <w:t>Wood, and Ferguson (2016)</w:t>
        </w:r>
        <w:r w:rsidR="004372FE">
          <w:rPr>
            <w:rFonts w:ascii="Verdana" w:hAnsi="Verdana"/>
            <w:sz w:val="20"/>
            <w:szCs w:val="20"/>
          </w:rPr>
          <w:fldChar w:fldCharType="end"/>
        </w:r>
      </w:hyperlink>
      <w:r w:rsidR="007E1F8A" w:rsidRPr="00195E39">
        <w:rPr>
          <w:rFonts w:ascii="Verdana" w:hAnsi="Verdana"/>
          <w:sz w:val="20"/>
          <w:szCs w:val="20"/>
        </w:rPr>
        <w:t xml:space="preserve"> meta-analysis reported a positive significant relationship between financial risk tolerance and conscientiousness. One reason for this could be conscientious individuals are more organized, goal-oriented, and self-disciplined due to which they forecast the consequences of their actions and take a substantial amount of risk on their investments to achieve their financial goals.</w:t>
      </w:r>
    </w:p>
    <w:p w14:paraId="64EC60FF" w14:textId="77777777" w:rsidR="00E9511D" w:rsidRPr="00195E39" w:rsidRDefault="00E9511D" w:rsidP="00E9511D">
      <w:pPr>
        <w:ind w:left="0" w:firstLine="720"/>
        <w:rPr>
          <w:rFonts w:ascii="Verdana" w:hAnsi="Verdana"/>
          <w:sz w:val="20"/>
          <w:szCs w:val="20"/>
        </w:rPr>
      </w:pPr>
    </w:p>
    <w:p w14:paraId="338048BA" w14:textId="46906678" w:rsidR="007E1F8A" w:rsidRPr="00E9511D" w:rsidRDefault="007E1F8A" w:rsidP="00E9511D">
      <w:pPr>
        <w:pStyle w:val="ListParagraph"/>
        <w:numPr>
          <w:ilvl w:val="0"/>
          <w:numId w:val="39"/>
        </w:numPr>
        <w:ind w:hanging="720"/>
        <w:jc w:val="left"/>
        <w:rPr>
          <w:rFonts w:ascii="Verdana" w:hAnsi="Verdana"/>
          <w:b/>
          <w:sz w:val="22"/>
          <w:szCs w:val="22"/>
        </w:rPr>
      </w:pPr>
      <w:r w:rsidRPr="00E9511D">
        <w:rPr>
          <w:rFonts w:ascii="Verdana" w:hAnsi="Verdana"/>
          <w:b/>
          <w:sz w:val="22"/>
          <w:szCs w:val="22"/>
        </w:rPr>
        <w:t>Conclusion</w:t>
      </w:r>
    </w:p>
    <w:p w14:paraId="23C58035" w14:textId="77777777" w:rsidR="00E9511D" w:rsidRDefault="00E9511D" w:rsidP="00E9511D">
      <w:pPr>
        <w:ind w:left="0" w:firstLine="720"/>
        <w:rPr>
          <w:rFonts w:ascii="Verdana" w:hAnsi="Verdana"/>
          <w:sz w:val="20"/>
          <w:szCs w:val="20"/>
        </w:rPr>
      </w:pPr>
    </w:p>
    <w:p w14:paraId="5B72CED3" w14:textId="2CB7D725" w:rsidR="007E1F8A" w:rsidRPr="00195E39" w:rsidRDefault="007E1F8A" w:rsidP="00E9511D">
      <w:pPr>
        <w:ind w:left="0" w:firstLine="720"/>
        <w:rPr>
          <w:rFonts w:ascii="Verdana" w:hAnsi="Verdana"/>
          <w:sz w:val="20"/>
          <w:szCs w:val="20"/>
        </w:rPr>
      </w:pPr>
      <w:r w:rsidRPr="00195E39">
        <w:rPr>
          <w:rFonts w:ascii="Verdana" w:hAnsi="Verdana"/>
          <w:sz w:val="20"/>
          <w:szCs w:val="20"/>
        </w:rPr>
        <w:t>The aim of this study was to investigated the relationship between financial risk tolerance, demographic characteristics and personality traits. 284 active real-estate investors were chosen as a sample of this study. The findings of this study is age, education, conscientiousness, and neuroticism have significant associations with financial risk tolerance, while gender, monthly income, openness to experience, and agreeableness do not have strong or significant relationships with it. These findings provide valuable insights into the factors influencing individuals' financial risk-taking behavior and can inform financial planning and investment strategies.</w:t>
      </w:r>
    </w:p>
    <w:p w14:paraId="6B0D0383" w14:textId="77777777" w:rsidR="00E9511D" w:rsidRDefault="00E9511D" w:rsidP="007E1F8A">
      <w:pPr>
        <w:rPr>
          <w:rFonts w:ascii="Verdana" w:hAnsi="Verdana"/>
          <w:b/>
          <w:sz w:val="20"/>
          <w:szCs w:val="20"/>
        </w:rPr>
      </w:pPr>
    </w:p>
    <w:p w14:paraId="5E756AE3" w14:textId="4DD125D7" w:rsidR="007E1F8A" w:rsidRPr="00E9511D" w:rsidRDefault="007E1F8A" w:rsidP="00E9511D">
      <w:pPr>
        <w:pStyle w:val="ListParagraph"/>
        <w:numPr>
          <w:ilvl w:val="1"/>
          <w:numId w:val="39"/>
        </w:numPr>
        <w:ind w:hanging="720"/>
        <w:rPr>
          <w:rFonts w:ascii="Verdana" w:hAnsi="Verdana"/>
          <w:b/>
          <w:sz w:val="22"/>
          <w:szCs w:val="22"/>
        </w:rPr>
      </w:pPr>
      <w:r w:rsidRPr="00E9511D">
        <w:rPr>
          <w:rFonts w:ascii="Verdana" w:hAnsi="Verdana"/>
          <w:b/>
          <w:sz w:val="22"/>
          <w:szCs w:val="22"/>
        </w:rPr>
        <w:t xml:space="preserve">Implication of the </w:t>
      </w:r>
      <w:r w:rsidR="00E9511D" w:rsidRPr="00E9511D">
        <w:rPr>
          <w:rFonts w:ascii="Verdana" w:hAnsi="Verdana"/>
          <w:b/>
          <w:sz w:val="22"/>
          <w:szCs w:val="22"/>
        </w:rPr>
        <w:t>S</w:t>
      </w:r>
      <w:r w:rsidRPr="00E9511D">
        <w:rPr>
          <w:rFonts w:ascii="Verdana" w:hAnsi="Verdana"/>
          <w:b/>
          <w:sz w:val="22"/>
          <w:szCs w:val="22"/>
        </w:rPr>
        <w:t>tudy</w:t>
      </w:r>
    </w:p>
    <w:p w14:paraId="49101EE7" w14:textId="77777777" w:rsidR="00E9511D" w:rsidRDefault="00E9511D" w:rsidP="00E9511D">
      <w:pPr>
        <w:ind w:left="0" w:firstLine="720"/>
        <w:rPr>
          <w:rFonts w:ascii="Verdana" w:hAnsi="Verdana"/>
          <w:sz w:val="20"/>
          <w:szCs w:val="20"/>
        </w:rPr>
      </w:pPr>
    </w:p>
    <w:p w14:paraId="5992786E" w14:textId="6BA58C9C" w:rsidR="007E1F8A" w:rsidRPr="00195E39" w:rsidRDefault="007E1F8A" w:rsidP="00E9511D">
      <w:pPr>
        <w:ind w:left="0" w:firstLine="720"/>
        <w:rPr>
          <w:rFonts w:ascii="Verdana" w:hAnsi="Verdana"/>
          <w:b/>
          <w:sz w:val="20"/>
          <w:szCs w:val="20"/>
        </w:rPr>
      </w:pPr>
      <w:r w:rsidRPr="00195E39">
        <w:rPr>
          <w:rFonts w:ascii="Verdana" w:hAnsi="Verdana"/>
          <w:sz w:val="20"/>
          <w:szCs w:val="20"/>
        </w:rPr>
        <w:t>Understanding how demographic factors and personality traits influence financial risk tolerance has practical implications across various domains. Financial advisors can offer personalized advice, institutions can design targeted products, and policymakers can shape regulations to suit diverse risk profiles. Employers and educators can benefit from tailoring programs to specific groups, and marketers can refine strategies based on demographic and personality segments. Overall, this knowledge enhances decision-making in finance, product development, education, and regulation.</w:t>
      </w:r>
    </w:p>
    <w:p w14:paraId="2DA3245B" w14:textId="77777777" w:rsidR="00E9511D" w:rsidRDefault="00E9511D" w:rsidP="007E1F8A">
      <w:pPr>
        <w:rPr>
          <w:rFonts w:ascii="Verdana" w:hAnsi="Verdana"/>
          <w:b/>
          <w:sz w:val="20"/>
          <w:szCs w:val="20"/>
        </w:rPr>
      </w:pPr>
    </w:p>
    <w:p w14:paraId="6322F85D" w14:textId="49822E37" w:rsidR="007E1F8A" w:rsidRPr="00E9511D" w:rsidRDefault="007E1F8A" w:rsidP="00E9511D">
      <w:pPr>
        <w:pStyle w:val="ListParagraph"/>
        <w:numPr>
          <w:ilvl w:val="1"/>
          <w:numId w:val="39"/>
        </w:numPr>
        <w:ind w:hanging="720"/>
        <w:rPr>
          <w:rFonts w:ascii="Verdana" w:hAnsi="Verdana"/>
          <w:b/>
          <w:sz w:val="22"/>
          <w:szCs w:val="22"/>
        </w:rPr>
      </w:pPr>
      <w:r w:rsidRPr="00E9511D">
        <w:rPr>
          <w:rFonts w:ascii="Verdana" w:hAnsi="Verdana"/>
          <w:b/>
          <w:sz w:val="22"/>
          <w:szCs w:val="22"/>
        </w:rPr>
        <w:t xml:space="preserve">Future </w:t>
      </w:r>
      <w:r w:rsidR="00E9511D">
        <w:rPr>
          <w:rFonts w:ascii="Verdana" w:hAnsi="Verdana"/>
          <w:b/>
          <w:sz w:val="22"/>
          <w:szCs w:val="22"/>
        </w:rPr>
        <w:t>R</w:t>
      </w:r>
      <w:r w:rsidRPr="00E9511D">
        <w:rPr>
          <w:rFonts w:ascii="Verdana" w:hAnsi="Verdana"/>
          <w:b/>
          <w:sz w:val="22"/>
          <w:szCs w:val="22"/>
        </w:rPr>
        <w:t>ecommendations</w:t>
      </w:r>
    </w:p>
    <w:p w14:paraId="371E51F7" w14:textId="77777777" w:rsidR="00E9511D" w:rsidRDefault="00E9511D" w:rsidP="00E9511D">
      <w:pPr>
        <w:ind w:left="0" w:firstLine="720"/>
        <w:rPr>
          <w:rFonts w:ascii="Verdana" w:hAnsi="Verdana"/>
          <w:sz w:val="20"/>
          <w:szCs w:val="20"/>
        </w:rPr>
      </w:pPr>
    </w:p>
    <w:p w14:paraId="4F9EF0E9" w14:textId="2233C521" w:rsidR="007E1F8A" w:rsidRPr="00195E39" w:rsidRDefault="007E1F8A" w:rsidP="00E9511D">
      <w:pPr>
        <w:ind w:left="0" w:firstLine="720"/>
        <w:rPr>
          <w:rFonts w:ascii="Verdana" w:hAnsi="Verdana"/>
          <w:sz w:val="20"/>
          <w:szCs w:val="20"/>
        </w:rPr>
      </w:pPr>
      <w:r w:rsidRPr="00195E39">
        <w:rPr>
          <w:rFonts w:ascii="Verdana" w:hAnsi="Verdana"/>
          <w:sz w:val="20"/>
          <w:szCs w:val="20"/>
        </w:rPr>
        <w:t>This study is cross-sectional future studies can apply longitudinal research to see how these relationships in detail. Similarly, the same findings can also be verified by experimental method. Moreover, this study has a small sample size one can proceed with large sample size.</w:t>
      </w:r>
    </w:p>
    <w:p w14:paraId="777DF92E" w14:textId="77777777" w:rsidR="00E9511D" w:rsidRDefault="00E9511D" w:rsidP="007E1F8A">
      <w:pPr>
        <w:rPr>
          <w:rFonts w:ascii="Verdana" w:hAnsi="Verdana"/>
          <w:b/>
          <w:sz w:val="20"/>
          <w:szCs w:val="20"/>
        </w:rPr>
      </w:pPr>
    </w:p>
    <w:p w14:paraId="6B87B092" w14:textId="77777777" w:rsidR="00466140" w:rsidRPr="002E7AB4" w:rsidRDefault="00466140" w:rsidP="00466140">
      <w:pPr>
        <w:rPr>
          <w:rFonts w:ascii="Verdana" w:hAnsi="Verdana"/>
          <w:b/>
          <w:bCs/>
          <w:sz w:val="20"/>
          <w:szCs w:val="20"/>
        </w:rPr>
      </w:pPr>
      <w:r w:rsidRPr="002E7AB4">
        <w:rPr>
          <w:rFonts w:ascii="Verdana" w:hAnsi="Verdana"/>
          <w:b/>
          <w:bCs/>
          <w:sz w:val="20"/>
          <w:szCs w:val="20"/>
        </w:rPr>
        <w:t>Authors’ Contribution:</w:t>
      </w:r>
    </w:p>
    <w:p w14:paraId="4F8DC5C7" w14:textId="58931C27" w:rsidR="00466140" w:rsidRPr="002E7AB4" w:rsidRDefault="00EE3F37" w:rsidP="00466140">
      <w:pPr>
        <w:rPr>
          <w:rFonts w:ascii="Verdana" w:hAnsi="Verdana"/>
          <w:sz w:val="20"/>
          <w:szCs w:val="20"/>
        </w:rPr>
      </w:pPr>
      <w:r w:rsidRPr="00EE3F37">
        <w:rPr>
          <w:rFonts w:ascii="Verdana" w:hAnsi="Verdana"/>
          <w:sz w:val="20"/>
          <w:szCs w:val="20"/>
        </w:rPr>
        <w:t>Waqar</w:t>
      </w:r>
      <w:r w:rsidR="00466140" w:rsidRPr="002E7AB4">
        <w:rPr>
          <w:rFonts w:ascii="Verdana" w:hAnsi="Verdana"/>
          <w:sz w:val="20"/>
          <w:szCs w:val="20"/>
        </w:rPr>
        <w:t xml:space="preserve">: </w:t>
      </w:r>
      <w:r>
        <w:rPr>
          <w:rFonts w:ascii="Verdana" w:hAnsi="Verdana"/>
          <w:sz w:val="20"/>
          <w:szCs w:val="20"/>
        </w:rPr>
        <w:t>Write the introduction and data and methodology section</w:t>
      </w:r>
      <w:r w:rsidR="00466140" w:rsidRPr="00293A35">
        <w:rPr>
          <w:rFonts w:ascii="Verdana" w:hAnsi="Verdana"/>
          <w:sz w:val="20"/>
          <w:szCs w:val="20"/>
        </w:rPr>
        <w:t>.</w:t>
      </w:r>
    </w:p>
    <w:p w14:paraId="0CE93D23" w14:textId="6856EE89" w:rsidR="00466140" w:rsidRPr="002E7AB4" w:rsidRDefault="00EE3F37" w:rsidP="00EE3F37">
      <w:pPr>
        <w:ind w:left="0" w:firstLine="0"/>
        <w:rPr>
          <w:rFonts w:ascii="Verdana" w:hAnsi="Verdana"/>
          <w:sz w:val="20"/>
          <w:szCs w:val="20"/>
        </w:rPr>
      </w:pPr>
      <w:proofErr w:type="spellStart"/>
      <w:r w:rsidRPr="00EE3F37">
        <w:rPr>
          <w:rFonts w:ascii="Verdana" w:hAnsi="Verdana"/>
          <w:sz w:val="20"/>
          <w:szCs w:val="20"/>
        </w:rPr>
        <w:t>Mukamil</w:t>
      </w:r>
      <w:proofErr w:type="spellEnd"/>
      <w:r w:rsidRPr="00EE3F37">
        <w:rPr>
          <w:rFonts w:ascii="Verdana" w:hAnsi="Verdana"/>
          <w:sz w:val="20"/>
          <w:szCs w:val="20"/>
        </w:rPr>
        <w:t xml:space="preserve"> Shah</w:t>
      </w:r>
      <w:r w:rsidR="00466140" w:rsidRPr="002E7AB4">
        <w:rPr>
          <w:rFonts w:ascii="Verdana" w:hAnsi="Verdana"/>
          <w:sz w:val="20"/>
          <w:szCs w:val="20"/>
        </w:rPr>
        <w:t xml:space="preserve">: </w:t>
      </w:r>
      <w:r w:rsidR="00466140" w:rsidRPr="00293A35">
        <w:rPr>
          <w:rFonts w:ascii="Verdana" w:hAnsi="Verdana"/>
          <w:sz w:val="20"/>
          <w:szCs w:val="20"/>
        </w:rPr>
        <w:t xml:space="preserve">Contributed </w:t>
      </w:r>
      <w:r w:rsidRPr="00293A35">
        <w:rPr>
          <w:rFonts w:ascii="Verdana" w:hAnsi="Verdana"/>
          <w:sz w:val="20"/>
          <w:szCs w:val="20"/>
        </w:rPr>
        <w:t>refining the research idea and scope</w:t>
      </w:r>
      <w:r>
        <w:rPr>
          <w:rFonts w:ascii="Verdana" w:hAnsi="Verdana"/>
          <w:sz w:val="20"/>
          <w:szCs w:val="20"/>
        </w:rPr>
        <w:t xml:space="preserve"> and </w:t>
      </w:r>
      <w:r w:rsidR="00466140" w:rsidRPr="00293A35">
        <w:rPr>
          <w:rFonts w:ascii="Verdana" w:hAnsi="Verdana"/>
          <w:sz w:val="20"/>
          <w:szCs w:val="20"/>
        </w:rPr>
        <w:t>development of the study's research methodology.</w:t>
      </w:r>
    </w:p>
    <w:p w14:paraId="6ADB1305" w14:textId="13A9A9C7" w:rsidR="00466140" w:rsidRPr="002E7AB4" w:rsidRDefault="00EE3F37" w:rsidP="00466140">
      <w:pPr>
        <w:ind w:left="0" w:firstLine="0"/>
        <w:rPr>
          <w:rFonts w:ascii="Verdana" w:hAnsi="Verdana"/>
          <w:sz w:val="20"/>
          <w:szCs w:val="20"/>
        </w:rPr>
      </w:pPr>
      <w:r w:rsidRPr="00EE3F37">
        <w:rPr>
          <w:rFonts w:ascii="Verdana" w:hAnsi="Verdana"/>
          <w:sz w:val="20"/>
          <w:szCs w:val="20"/>
        </w:rPr>
        <w:t>Manzar Zia</w:t>
      </w:r>
      <w:r w:rsidR="00466140" w:rsidRPr="002E7AB4">
        <w:rPr>
          <w:rFonts w:ascii="Verdana" w:hAnsi="Verdana"/>
          <w:sz w:val="20"/>
          <w:szCs w:val="20"/>
        </w:rPr>
        <w:t xml:space="preserve">: </w:t>
      </w:r>
      <w:r w:rsidR="00466140" w:rsidRPr="00293A35">
        <w:rPr>
          <w:rFonts w:ascii="Verdana" w:hAnsi="Verdana"/>
          <w:sz w:val="20"/>
          <w:szCs w:val="20"/>
        </w:rPr>
        <w:t>Focused on reviewing the existing literature related to intellectual capital disclosure.</w:t>
      </w:r>
    </w:p>
    <w:p w14:paraId="3793CF3E" w14:textId="77777777" w:rsidR="00466140" w:rsidRDefault="00466140" w:rsidP="00EE3F37">
      <w:pPr>
        <w:ind w:left="0" w:firstLine="0"/>
        <w:rPr>
          <w:rFonts w:ascii="Verdana" w:hAnsi="Verdana"/>
          <w:b/>
          <w:bCs/>
          <w:sz w:val="20"/>
          <w:szCs w:val="20"/>
        </w:rPr>
      </w:pPr>
    </w:p>
    <w:p w14:paraId="3C825AA9" w14:textId="77777777" w:rsidR="00466140" w:rsidRPr="002E7AB4" w:rsidRDefault="00466140" w:rsidP="00466140">
      <w:pPr>
        <w:rPr>
          <w:rFonts w:ascii="Verdana" w:hAnsi="Verdana"/>
          <w:b/>
          <w:bCs/>
          <w:sz w:val="20"/>
          <w:szCs w:val="20"/>
        </w:rPr>
      </w:pPr>
      <w:r w:rsidRPr="002E7AB4">
        <w:rPr>
          <w:rFonts w:ascii="Verdana" w:hAnsi="Verdana"/>
          <w:b/>
          <w:bCs/>
          <w:sz w:val="20"/>
          <w:szCs w:val="20"/>
        </w:rPr>
        <w:t>Conflict of Interest/Disclosures:</w:t>
      </w:r>
    </w:p>
    <w:p w14:paraId="41C5CE59" w14:textId="6FDCD6C4" w:rsidR="00466140" w:rsidRDefault="00466140" w:rsidP="00466140">
      <w:pPr>
        <w:ind w:left="0" w:firstLine="0"/>
        <w:rPr>
          <w:rFonts w:ascii="Verdana" w:hAnsi="Verdana"/>
          <w:b/>
          <w:sz w:val="20"/>
          <w:szCs w:val="20"/>
        </w:rPr>
      </w:pPr>
      <w:r w:rsidRPr="002E7AB4">
        <w:rPr>
          <w:rFonts w:ascii="Verdana" w:hAnsi="Verdana"/>
          <w:sz w:val="20"/>
          <w:szCs w:val="20"/>
        </w:rPr>
        <w:t>The authors declared that there is no potential conflicts of interest regarding the research, authorship, and/or publication of this paper.</w:t>
      </w:r>
    </w:p>
    <w:p w14:paraId="34F664D9" w14:textId="77777777" w:rsidR="00466140" w:rsidRDefault="00466140" w:rsidP="007E1F8A">
      <w:pPr>
        <w:rPr>
          <w:rFonts w:ascii="Verdana" w:hAnsi="Verdana"/>
          <w:b/>
          <w:sz w:val="20"/>
          <w:szCs w:val="20"/>
        </w:rPr>
      </w:pPr>
    </w:p>
    <w:p w14:paraId="72BA22B6" w14:textId="77777777" w:rsidR="00492614" w:rsidRDefault="007E1F8A" w:rsidP="007E1F8A">
      <w:pPr>
        <w:rPr>
          <w:rFonts w:ascii="Verdana" w:hAnsi="Verdana"/>
          <w:b/>
          <w:sz w:val="22"/>
          <w:szCs w:val="22"/>
        </w:rPr>
      </w:pPr>
      <w:r w:rsidRPr="00E9511D">
        <w:rPr>
          <w:rFonts w:ascii="Verdana" w:hAnsi="Verdana"/>
          <w:b/>
          <w:sz w:val="22"/>
          <w:szCs w:val="22"/>
        </w:rPr>
        <w:t>References</w:t>
      </w:r>
      <w:bookmarkEnd w:id="4"/>
      <w:bookmarkEnd w:id="5"/>
    </w:p>
    <w:p w14:paraId="4F5A872D" w14:textId="77777777" w:rsidR="00492614" w:rsidRDefault="00492614" w:rsidP="007E1F8A">
      <w:pPr>
        <w:rPr>
          <w:rFonts w:ascii="Verdana" w:hAnsi="Verdana"/>
          <w:b/>
          <w:sz w:val="22"/>
          <w:szCs w:val="22"/>
        </w:rPr>
      </w:pPr>
    </w:p>
    <w:p w14:paraId="5AEB5C08" w14:textId="77777777" w:rsidR="004372FE" w:rsidRPr="00AB0A13" w:rsidRDefault="00492614" w:rsidP="004372FE">
      <w:pPr>
        <w:pStyle w:val="EndNoteBibliography"/>
        <w:spacing w:after="0"/>
        <w:ind w:left="720" w:hanging="720"/>
        <w:rPr>
          <w:rFonts w:ascii="Verdana" w:hAnsi="Verdana"/>
        </w:rPr>
      </w:pPr>
      <w:r w:rsidRPr="00AB0A13">
        <w:rPr>
          <w:rFonts w:ascii="Verdana" w:hAnsi="Verdana"/>
          <w:b/>
        </w:rPr>
        <w:fldChar w:fldCharType="begin"/>
      </w:r>
      <w:r w:rsidRPr="00AB0A13">
        <w:rPr>
          <w:rFonts w:ascii="Verdana" w:hAnsi="Verdana"/>
          <w:b/>
        </w:rPr>
        <w:instrText xml:space="preserve"> ADDIN EN.REFLIST </w:instrText>
      </w:r>
      <w:r w:rsidRPr="00AB0A13">
        <w:rPr>
          <w:rFonts w:ascii="Verdana" w:hAnsi="Verdana"/>
          <w:b/>
        </w:rPr>
        <w:fldChar w:fldCharType="separate"/>
      </w:r>
      <w:bookmarkStart w:id="14" w:name="_ENREF_1"/>
      <w:r w:rsidR="004372FE" w:rsidRPr="00AB0A13">
        <w:rPr>
          <w:rFonts w:ascii="Verdana" w:hAnsi="Verdana"/>
        </w:rPr>
        <w:t xml:space="preserve">Ahmad, M., &amp; Maochun, Z. (2019). Personality traits and investor decisions. </w:t>
      </w:r>
      <w:r w:rsidR="004372FE" w:rsidRPr="00AB0A13">
        <w:rPr>
          <w:rFonts w:ascii="Verdana" w:hAnsi="Verdana"/>
          <w:i/>
        </w:rPr>
        <w:t>Asian Journal of Economics, Finance and Management</w:t>
      </w:r>
      <w:r w:rsidR="004372FE" w:rsidRPr="00AB0A13">
        <w:rPr>
          <w:rFonts w:ascii="Verdana" w:hAnsi="Verdana"/>
        </w:rPr>
        <w:t xml:space="preserve">, 19-34. </w:t>
      </w:r>
      <w:bookmarkEnd w:id="14"/>
    </w:p>
    <w:p w14:paraId="4A876A9C" w14:textId="77777777" w:rsidR="004372FE" w:rsidRPr="00AB0A13" w:rsidRDefault="004372FE" w:rsidP="004372FE">
      <w:pPr>
        <w:pStyle w:val="EndNoteBibliography"/>
        <w:spacing w:after="0"/>
        <w:ind w:left="720" w:hanging="720"/>
        <w:rPr>
          <w:rFonts w:ascii="Verdana" w:hAnsi="Verdana"/>
        </w:rPr>
      </w:pPr>
      <w:bookmarkStart w:id="15" w:name="_ENREF_2"/>
      <w:r w:rsidRPr="00AB0A13">
        <w:rPr>
          <w:rFonts w:ascii="Verdana" w:hAnsi="Verdana"/>
        </w:rPr>
        <w:t xml:space="preserve">AIGBOVO-OMORUYI, O., &amp; AIGBOVO, O. (2020). Assessing Financial Risk Tolerance Level of Individual Investors: Do Demographic Factors Matter? </w:t>
      </w:r>
      <w:r w:rsidRPr="00AB0A13">
        <w:rPr>
          <w:rFonts w:ascii="Verdana" w:hAnsi="Verdana"/>
          <w:i/>
        </w:rPr>
        <w:t>Nigerian Journal of Risk and Insurance, 10</w:t>
      </w:r>
      <w:r w:rsidRPr="00AB0A13">
        <w:rPr>
          <w:rFonts w:ascii="Verdana" w:hAnsi="Verdana"/>
        </w:rPr>
        <w:t xml:space="preserve">(1), 184-214. </w:t>
      </w:r>
      <w:bookmarkEnd w:id="15"/>
    </w:p>
    <w:p w14:paraId="039DA183" w14:textId="77777777" w:rsidR="004372FE" w:rsidRPr="00AB0A13" w:rsidRDefault="004372FE" w:rsidP="004372FE">
      <w:pPr>
        <w:pStyle w:val="EndNoteBibliography"/>
        <w:spacing w:after="0"/>
        <w:ind w:left="720" w:hanging="720"/>
        <w:rPr>
          <w:rFonts w:ascii="Verdana" w:hAnsi="Verdana"/>
        </w:rPr>
      </w:pPr>
      <w:bookmarkStart w:id="16" w:name="_ENREF_3"/>
      <w:r w:rsidRPr="00AB0A13">
        <w:rPr>
          <w:rFonts w:ascii="Verdana" w:hAnsi="Verdana"/>
        </w:rPr>
        <w:t xml:space="preserve">Aleka, T. G. (2020). </w:t>
      </w:r>
      <w:r w:rsidRPr="00AB0A13">
        <w:rPr>
          <w:rFonts w:ascii="Verdana" w:hAnsi="Verdana"/>
          <w:i/>
        </w:rPr>
        <w:t>The Impact of Personality Traits and Demographic Characteristics on Risk Tolerance of Individual Investors. A Case of Bahir Dar City (Doctoral dissertation).</w:t>
      </w:r>
      <w:r w:rsidRPr="00AB0A13">
        <w:rPr>
          <w:rFonts w:ascii="Verdana" w:hAnsi="Verdana"/>
        </w:rPr>
        <w:t xml:space="preserve"> Retrieved from </w:t>
      </w:r>
      <w:bookmarkEnd w:id="16"/>
    </w:p>
    <w:p w14:paraId="1896A1A5" w14:textId="77777777" w:rsidR="004372FE" w:rsidRPr="00AB0A13" w:rsidRDefault="004372FE" w:rsidP="004372FE">
      <w:pPr>
        <w:pStyle w:val="EndNoteBibliography"/>
        <w:spacing w:after="0"/>
        <w:ind w:left="720" w:hanging="720"/>
        <w:rPr>
          <w:rFonts w:ascii="Verdana" w:hAnsi="Verdana"/>
        </w:rPr>
      </w:pPr>
      <w:bookmarkStart w:id="17" w:name="_ENREF_4"/>
      <w:r w:rsidRPr="00AB0A13">
        <w:rPr>
          <w:rFonts w:ascii="Verdana" w:hAnsi="Verdana"/>
        </w:rPr>
        <w:lastRenderedPageBreak/>
        <w:t xml:space="preserve">Almlund, M., Duckworth, A. L., Heckman, J., &amp; Kautz, T. (2011). Personality psychology and economics. In </w:t>
      </w:r>
      <w:r w:rsidRPr="00AB0A13">
        <w:rPr>
          <w:rFonts w:ascii="Verdana" w:hAnsi="Verdana"/>
          <w:i/>
        </w:rPr>
        <w:t>Handbook of the Economics of Education</w:t>
      </w:r>
      <w:r w:rsidRPr="00AB0A13">
        <w:rPr>
          <w:rFonts w:ascii="Verdana" w:hAnsi="Verdana"/>
        </w:rPr>
        <w:t xml:space="preserve"> (Vol. 4, pp. 1-181): Elsevier.</w:t>
      </w:r>
      <w:bookmarkEnd w:id="17"/>
    </w:p>
    <w:p w14:paraId="51E6074A" w14:textId="00E05D31" w:rsidR="004372FE" w:rsidRPr="00AB0A13" w:rsidRDefault="004372FE" w:rsidP="004372FE">
      <w:pPr>
        <w:pStyle w:val="EndNoteBibliography"/>
        <w:spacing w:after="0"/>
        <w:ind w:left="720" w:hanging="720"/>
        <w:rPr>
          <w:rFonts w:ascii="Verdana" w:hAnsi="Verdana"/>
        </w:rPr>
      </w:pPr>
      <w:bookmarkStart w:id="18" w:name="_ENREF_5"/>
      <w:r w:rsidRPr="00AB0A13">
        <w:rPr>
          <w:rFonts w:ascii="Verdana" w:hAnsi="Verdana"/>
        </w:rPr>
        <w:t xml:space="preserve">Ameriks, J., Caplin, A., &amp; Leahy, J. (2003). Wealth accumulation and the propensity to plan. </w:t>
      </w:r>
      <w:r w:rsidRPr="00AB0A13">
        <w:rPr>
          <w:rFonts w:ascii="Verdana" w:hAnsi="Verdana"/>
          <w:i/>
        </w:rPr>
        <w:t>The quarterly journal of economics, 118</w:t>
      </w:r>
      <w:r w:rsidRPr="00AB0A13">
        <w:rPr>
          <w:rFonts w:ascii="Verdana" w:hAnsi="Verdana"/>
        </w:rPr>
        <w:t>(3), 1007-1047. doi:</w:t>
      </w:r>
      <w:hyperlink r:id="rId18" w:history="1">
        <w:r w:rsidRPr="00AB0A13">
          <w:rPr>
            <w:rStyle w:val="Hyperlink"/>
            <w:rFonts w:ascii="Verdana" w:hAnsi="Verdana"/>
          </w:rPr>
          <w:t>https://doi.org/10.1162/00335530360698487</w:t>
        </w:r>
        <w:bookmarkEnd w:id="18"/>
      </w:hyperlink>
    </w:p>
    <w:p w14:paraId="2142141D" w14:textId="505DE812" w:rsidR="004372FE" w:rsidRPr="00AB0A13" w:rsidRDefault="004372FE" w:rsidP="004372FE">
      <w:pPr>
        <w:pStyle w:val="EndNoteBibliography"/>
        <w:spacing w:after="0"/>
        <w:ind w:left="720" w:hanging="720"/>
        <w:rPr>
          <w:rFonts w:ascii="Verdana" w:hAnsi="Verdana"/>
        </w:rPr>
      </w:pPr>
      <w:bookmarkStart w:id="19" w:name="_ENREF_6"/>
      <w:r w:rsidRPr="00AB0A13">
        <w:rPr>
          <w:rFonts w:ascii="Verdana" w:hAnsi="Verdana"/>
        </w:rPr>
        <w:t xml:space="preserve">Ardehali, P. H., Paradi, J. C., &amp; Asmild, M. (2005). Assessing financial risk tolerance of portfolio investors using data envelopment analysis. </w:t>
      </w:r>
      <w:r w:rsidRPr="00AB0A13">
        <w:rPr>
          <w:rFonts w:ascii="Verdana" w:hAnsi="Verdana"/>
          <w:i/>
        </w:rPr>
        <w:t>International Journal of Information Technology &amp; Decision Making, 4</w:t>
      </w:r>
      <w:r w:rsidRPr="00AB0A13">
        <w:rPr>
          <w:rFonts w:ascii="Verdana" w:hAnsi="Verdana"/>
        </w:rPr>
        <w:t>(03), 491-519. doi:</w:t>
      </w:r>
      <w:hyperlink r:id="rId19" w:history="1">
        <w:r w:rsidRPr="00AB0A13">
          <w:rPr>
            <w:rStyle w:val="Hyperlink"/>
            <w:rFonts w:ascii="Verdana" w:hAnsi="Verdana"/>
          </w:rPr>
          <w:t>https://doi.org/10.1142/S0219622005001660</w:t>
        </w:r>
        <w:bookmarkEnd w:id="19"/>
      </w:hyperlink>
    </w:p>
    <w:p w14:paraId="4B4D2202" w14:textId="77777777" w:rsidR="004372FE" w:rsidRPr="00AB0A13" w:rsidRDefault="004372FE" w:rsidP="004372FE">
      <w:pPr>
        <w:pStyle w:val="EndNoteBibliography"/>
        <w:spacing w:after="0"/>
        <w:ind w:left="720" w:hanging="720"/>
        <w:rPr>
          <w:rFonts w:ascii="Verdana" w:hAnsi="Verdana"/>
        </w:rPr>
      </w:pPr>
      <w:bookmarkStart w:id="20" w:name="_ENREF_7"/>
      <w:r w:rsidRPr="00AB0A13">
        <w:rPr>
          <w:rFonts w:ascii="Verdana" w:hAnsi="Verdana"/>
        </w:rPr>
        <w:t xml:space="preserve">Babbie, E. R. (2020). </w:t>
      </w:r>
      <w:r w:rsidRPr="00AB0A13">
        <w:rPr>
          <w:rFonts w:ascii="Verdana" w:hAnsi="Verdana"/>
          <w:i/>
        </w:rPr>
        <w:t>The practice of social research</w:t>
      </w:r>
      <w:r w:rsidRPr="00AB0A13">
        <w:rPr>
          <w:rFonts w:ascii="Verdana" w:hAnsi="Verdana"/>
        </w:rPr>
        <w:t>: Cengage AU.</w:t>
      </w:r>
      <w:bookmarkEnd w:id="20"/>
    </w:p>
    <w:p w14:paraId="77313C8A" w14:textId="0244D07A" w:rsidR="004372FE" w:rsidRPr="00AB0A13" w:rsidRDefault="004372FE" w:rsidP="004372FE">
      <w:pPr>
        <w:pStyle w:val="EndNoteBibliography"/>
        <w:spacing w:after="0"/>
        <w:ind w:left="720" w:hanging="720"/>
        <w:rPr>
          <w:rFonts w:ascii="Verdana" w:hAnsi="Verdana"/>
        </w:rPr>
      </w:pPr>
      <w:bookmarkStart w:id="21" w:name="_ENREF_8"/>
      <w:r w:rsidRPr="00AB0A13">
        <w:rPr>
          <w:rFonts w:ascii="Verdana" w:hAnsi="Verdana"/>
        </w:rPr>
        <w:t xml:space="preserve">Baker, H. K., Kumar, S., &amp; Goyal, N. (2021). Personality traits and investor sentiment. </w:t>
      </w:r>
      <w:r w:rsidRPr="00AB0A13">
        <w:rPr>
          <w:rFonts w:ascii="Verdana" w:hAnsi="Verdana"/>
          <w:i/>
        </w:rPr>
        <w:t>Review of Behavioral Finance, 13</w:t>
      </w:r>
      <w:r w:rsidRPr="00AB0A13">
        <w:rPr>
          <w:rFonts w:ascii="Verdana" w:hAnsi="Verdana"/>
        </w:rPr>
        <w:t>(4), 354-369. doi:</w:t>
      </w:r>
      <w:hyperlink r:id="rId20" w:history="1">
        <w:r w:rsidRPr="00AB0A13">
          <w:rPr>
            <w:rStyle w:val="Hyperlink"/>
            <w:rFonts w:ascii="Verdana" w:hAnsi="Verdana"/>
          </w:rPr>
          <w:t>https://doi.org/10.1108/RBF-08-2017-0077</w:t>
        </w:r>
        <w:bookmarkEnd w:id="21"/>
      </w:hyperlink>
    </w:p>
    <w:p w14:paraId="3D40DF69" w14:textId="570C2462" w:rsidR="004372FE" w:rsidRPr="00AB0A13" w:rsidRDefault="004372FE" w:rsidP="004372FE">
      <w:pPr>
        <w:pStyle w:val="EndNoteBibliography"/>
        <w:spacing w:after="0"/>
        <w:ind w:left="720" w:hanging="720"/>
        <w:rPr>
          <w:rFonts w:ascii="Verdana" w:hAnsi="Verdana"/>
        </w:rPr>
      </w:pPr>
      <w:bookmarkStart w:id="22" w:name="_ENREF_9"/>
      <w:r w:rsidRPr="00AB0A13">
        <w:rPr>
          <w:rFonts w:ascii="Verdana" w:hAnsi="Verdana"/>
        </w:rPr>
        <w:t xml:space="preserve">Barber, B. M., &amp; Odean, T. (2001). Boys will be boys: Gender, overconfidence, and common stock investment. </w:t>
      </w:r>
      <w:r w:rsidRPr="00AB0A13">
        <w:rPr>
          <w:rFonts w:ascii="Verdana" w:hAnsi="Verdana"/>
          <w:i/>
        </w:rPr>
        <w:t>The quarterly journal of economics, 116</w:t>
      </w:r>
      <w:r w:rsidRPr="00AB0A13">
        <w:rPr>
          <w:rFonts w:ascii="Verdana" w:hAnsi="Verdana"/>
        </w:rPr>
        <w:t>(1), 261-292. doi:</w:t>
      </w:r>
      <w:hyperlink r:id="rId21" w:history="1">
        <w:r w:rsidRPr="00AB0A13">
          <w:rPr>
            <w:rStyle w:val="Hyperlink"/>
            <w:rFonts w:ascii="Verdana" w:hAnsi="Verdana"/>
          </w:rPr>
          <w:t>https://doi.org/10.1162/003355301556400</w:t>
        </w:r>
        <w:bookmarkEnd w:id="22"/>
      </w:hyperlink>
    </w:p>
    <w:p w14:paraId="350B44C2" w14:textId="62D0D769" w:rsidR="004372FE" w:rsidRPr="00AB0A13" w:rsidRDefault="004372FE" w:rsidP="004372FE">
      <w:pPr>
        <w:pStyle w:val="EndNoteBibliography"/>
        <w:spacing w:after="0"/>
        <w:ind w:left="720" w:hanging="720"/>
        <w:rPr>
          <w:rFonts w:ascii="Verdana" w:hAnsi="Verdana"/>
        </w:rPr>
      </w:pPr>
      <w:bookmarkStart w:id="23" w:name="_ENREF_10"/>
      <w:r w:rsidRPr="00AB0A13">
        <w:rPr>
          <w:rFonts w:ascii="Verdana" w:hAnsi="Verdana"/>
        </w:rPr>
        <w:t xml:space="preserve">Bergkamp, B., Impa, S., Asebedo, A., Fritz, A., &amp; Jagadish, S. K. (2018). Prominent winter wheat varieties response to post-flowering heat stress under controlled chambers and field based heat tents. </w:t>
      </w:r>
      <w:r w:rsidRPr="00AB0A13">
        <w:rPr>
          <w:rFonts w:ascii="Verdana" w:hAnsi="Verdana"/>
          <w:i/>
        </w:rPr>
        <w:t>Field Crops Research, 222</w:t>
      </w:r>
      <w:r w:rsidRPr="00AB0A13">
        <w:rPr>
          <w:rFonts w:ascii="Verdana" w:hAnsi="Verdana"/>
        </w:rPr>
        <w:t>(6), 143-152. doi:</w:t>
      </w:r>
      <w:hyperlink r:id="rId22" w:history="1">
        <w:r w:rsidRPr="00AB0A13">
          <w:rPr>
            <w:rStyle w:val="Hyperlink"/>
            <w:rFonts w:ascii="Verdana" w:hAnsi="Verdana"/>
          </w:rPr>
          <w:t>https://doi.org/10.1016/j.fcr.2018.03.009</w:t>
        </w:r>
        <w:bookmarkEnd w:id="23"/>
      </w:hyperlink>
    </w:p>
    <w:p w14:paraId="1EB37292" w14:textId="7DAB068A" w:rsidR="004372FE" w:rsidRPr="00AB0A13" w:rsidRDefault="004372FE" w:rsidP="004372FE">
      <w:pPr>
        <w:pStyle w:val="EndNoteBibliography"/>
        <w:spacing w:after="0"/>
        <w:ind w:left="720" w:hanging="720"/>
        <w:rPr>
          <w:rFonts w:ascii="Verdana" w:hAnsi="Verdana"/>
        </w:rPr>
      </w:pPr>
      <w:bookmarkStart w:id="24" w:name="_ENREF_11"/>
      <w:r w:rsidRPr="00AB0A13">
        <w:rPr>
          <w:rFonts w:ascii="Verdana" w:hAnsi="Verdana"/>
        </w:rPr>
        <w:t xml:space="preserve">Bhattacharya, A., Dutta, A., &amp; Kar, S. (2022). Does demographics influence the risk behaviour of urban investors? A machine learning model based approach. </w:t>
      </w:r>
      <w:r w:rsidRPr="00AB0A13">
        <w:rPr>
          <w:rFonts w:ascii="Verdana" w:hAnsi="Verdana"/>
          <w:i/>
        </w:rPr>
        <w:t>Operational Research in Engineering Sciences: Theory and Applications, 5</w:t>
      </w:r>
      <w:r w:rsidRPr="00AB0A13">
        <w:rPr>
          <w:rFonts w:ascii="Verdana" w:hAnsi="Verdana"/>
        </w:rPr>
        <w:t>(2), 190-205. doi:</w:t>
      </w:r>
      <w:hyperlink r:id="rId23" w:history="1">
        <w:r w:rsidRPr="00AB0A13">
          <w:rPr>
            <w:rStyle w:val="Hyperlink"/>
            <w:rFonts w:ascii="Verdana" w:hAnsi="Verdana"/>
          </w:rPr>
          <w:t>https://doi.org/10.31181/oresta010422181b</w:t>
        </w:r>
        <w:bookmarkEnd w:id="24"/>
      </w:hyperlink>
    </w:p>
    <w:p w14:paraId="5DE4F706" w14:textId="46C94658" w:rsidR="004372FE" w:rsidRPr="00AB0A13" w:rsidRDefault="004372FE" w:rsidP="004372FE">
      <w:pPr>
        <w:pStyle w:val="EndNoteBibliography"/>
        <w:spacing w:after="0"/>
        <w:ind w:left="720" w:hanging="720"/>
        <w:rPr>
          <w:rFonts w:ascii="Verdana" w:hAnsi="Verdana"/>
        </w:rPr>
      </w:pPr>
      <w:bookmarkStart w:id="25" w:name="_ENREF_12"/>
      <w:r w:rsidRPr="00AB0A13">
        <w:rPr>
          <w:rFonts w:ascii="Verdana" w:hAnsi="Verdana"/>
        </w:rPr>
        <w:t xml:space="preserve">Booth, A., Cardona-Sosa, L., &amp; Nolen, P. (2014). Gender differences in risk aversion: Do single-sex environments affect their development? </w:t>
      </w:r>
      <w:r w:rsidRPr="00AB0A13">
        <w:rPr>
          <w:rFonts w:ascii="Verdana" w:hAnsi="Verdana"/>
          <w:i/>
        </w:rPr>
        <w:t>Journal of economic behavior &amp; organization, 99</w:t>
      </w:r>
      <w:r w:rsidRPr="00AB0A13">
        <w:rPr>
          <w:rFonts w:ascii="Verdana" w:hAnsi="Verdana"/>
        </w:rPr>
        <w:t>(3), 126-154. doi:</w:t>
      </w:r>
      <w:hyperlink r:id="rId24" w:history="1">
        <w:r w:rsidRPr="00AB0A13">
          <w:rPr>
            <w:rStyle w:val="Hyperlink"/>
            <w:rFonts w:ascii="Verdana" w:hAnsi="Verdana"/>
          </w:rPr>
          <w:t>https://doi.org/10.1016/j.jebo.2013.12.017</w:t>
        </w:r>
        <w:bookmarkEnd w:id="25"/>
      </w:hyperlink>
    </w:p>
    <w:p w14:paraId="5059CA43" w14:textId="0DE40F3F" w:rsidR="004372FE" w:rsidRPr="00AB0A13" w:rsidRDefault="004372FE" w:rsidP="004372FE">
      <w:pPr>
        <w:pStyle w:val="EndNoteBibliography"/>
        <w:spacing w:after="0"/>
        <w:ind w:left="720" w:hanging="720"/>
        <w:rPr>
          <w:rFonts w:ascii="Verdana" w:hAnsi="Verdana"/>
        </w:rPr>
      </w:pPr>
      <w:bookmarkStart w:id="26" w:name="_ENREF_13"/>
      <w:r w:rsidRPr="00AB0A13">
        <w:rPr>
          <w:rFonts w:ascii="Verdana" w:hAnsi="Verdana"/>
        </w:rPr>
        <w:t xml:space="preserve">Boyce, C. J., Wood, A. M., &amp; Ferguson, E. (2016). For better or for worse: The moderating effects of personality on the marriage-life satisfaction link. </w:t>
      </w:r>
      <w:r w:rsidRPr="00AB0A13">
        <w:rPr>
          <w:rFonts w:ascii="Verdana" w:hAnsi="Verdana"/>
          <w:i/>
        </w:rPr>
        <w:t>Personality and Individual Differences, 97</w:t>
      </w:r>
      <w:r w:rsidRPr="00AB0A13">
        <w:rPr>
          <w:rFonts w:ascii="Verdana" w:hAnsi="Verdana"/>
        </w:rPr>
        <w:t>(7), 61-66. doi:</w:t>
      </w:r>
      <w:hyperlink r:id="rId25" w:history="1">
        <w:r w:rsidRPr="00AB0A13">
          <w:rPr>
            <w:rStyle w:val="Hyperlink"/>
            <w:rFonts w:ascii="Verdana" w:hAnsi="Verdana"/>
          </w:rPr>
          <w:t>https://doi.org/10.1016/j.paid.2016.03.005</w:t>
        </w:r>
        <w:bookmarkEnd w:id="26"/>
      </w:hyperlink>
    </w:p>
    <w:p w14:paraId="21CEBB37" w14:textId="77777777" w:rsidR="004372FE" w:rsidRPr="00AB0A13" w:rsidRDefault="004372FE" w:rsidP="004372FE">
      <w:pPr>
        <w:pStyle w:val="EndNoteBibliography"/>
        <w:spacing w:after="0"/>
        <w:ind w:left="720" w:hanging="720"/>
        <w:rPr>
          <w:rFonts w:ascii="Verdana" w:hAnsi="Verdana"/>
        </w:rPr>
      </w:pPr>
      <w:bookmarkStart w:id="27" w:name="_ENREF_14"/>
      <w:r w:rsidRPr="00AB0A13">
        <w:rPr>
          <w:rFonts w:ascii="Verdana" w:hAnsi="Verdana"/>
        </w:rPr>
        <w:t xml:space="preserve">Chattopadhyay, S., &amp; Dasgupta, R. (2015). Demographic and socioeconomic impact on risk attitudes of the Indian investors-an empirical study. </w:t>
      </w:r>
      <w:r w:rsidRPr="00AB0A13">
        <w:rPr>
          <w:rFonts w:ascii="Verdana" w:hAnsi="Verdana"/>
          <w:i/>
        </w:rPr>
        <w:t>Asian Economic and Financial Review, 5</w:t>
      </w:r>
      <w:r w:rsidRPr="00AB0A13">
        <w:rPr>
          <w:rFonts w:ascii="Verdana" w:hAnsi="Verdana"/>
        </w:rPr>
        <w:t xml:space="preserve">(4), 601. </w:t>
      </w:r>
      <w:bookmarkEnd w:id="27"/>
    </w:p>
    <w:p w14:paraId="55E30DB1" w14:textId="655FC312" w:rsidR="004372FE" w:rsidRPr="00AB0A13" w:rsidRDefault="004372FE" w:rsidP="004372FE">
      <w:pPr>
        <w:pStyle w:val="EndNoteBibliography"/>
        <w:spacing w:after="0"/>
        <w:ind w:left="720" w:hanging="720"/>
        <w:rPr>
          <w:rFonts w:ascii="Verdana" w:hAnsi="Verdana"/>
        </w:rPr>
      </w:pPr>
      <w:bookmarkStart w:id="28" w:name="_ENREF_15"/>
      <w:r w:rsidRPr="00AB0A13">
        <w:rPr>
          <w:rFonts w:ascii="Verdana" w:hAnsi="Verdana"/>
        </w:rPr>
        <w:t xml:space="preserve">Chaulk, B., Johnson, P. J., &amp; Bulcroft, R. (2003). Effects of marriage and children on financial risk tolerance: A synthesis of family development and prospect theory. </w:t>
      </w:r>
      <w:r w:rsidRPr="00AB0A13">
        <w:rPr>
          <w:rFonts w:ascii="Verdana" w:hAnsi="Verdana"/>
          <w:i/>
        </w:rPr>
        <w:t>Journal of Family and Economic Issues, 24</w:t>
      </w:r>
      <w:r w:rsidRPr="00AB0A13">
        <w:rPr>
          <w:rFonts w:ascii="Verdana" w:hAnsi="Verdana"/>
        </w:rPr>
        <w:t>, 257-279. doi:</w:t>
      </w:r>
      <w:hyperlink r:id="rId26" w:history="1">
        <w:r w:rsidRPr="00AB0A13">
          <w:rPr>
            <w:rStyle w:val="Hyperlink"/>
            <w:rFonts w:ascii="Verdana" w:hAnsi="Verdana"/>
          </w:rPr>
          <w:t>https://doi.org/10.1023/A:1025495221519</w:t>
        </w:r>
        <w:bookmarkEnd w:id="28"/>
      </w:hyperlink>
    </w:p>
    <w:p w14:paraId="2DDC14CA" w14:textId="3730709E" w:rsidR="004372FE" w:rsidRPr="00AB0A13" w:rsidRDefault="004372FE" w:rsidP="004372FE">
      <w:pPr>
        <w:pStyle w:val="EndNoteBibliography"/>
        <w:spacing w:after="0"/>
        <w:ind w:left="720" w:hanging="720"/>
        <w:rPr>
          <w:rFonts w:ascii="Verdana" w:hAnsi="Verdana"/>
        </w:rPr>
      </w:pPr>
      <w:bookmarkStart w:id="29" w:name="_ENREF_16"/>
      <w:r w:rsidRPr="00AB0A13">
        <w:rPr>
          <w:rFonts w:ascii="Verdana" w:hAnsi="Verdana"/>
        </w:rPr>
        <w:t xml:space="preserve">Faff, R., Mulino, D., &amp; Chai, D. (2008). On the linkage between financial risk tolerance and risk aversion. </w:t>
      </w:r>
      <w:r w:rsidRPr="00AB0A13">
        <w:rPr>
          <w:rFonts w:ascii="Verdana" w:hAnsi="Verdana"/>
          <w:i/>
        </w:rPr>
        <w:t>Journal of financial research, 31</w:t>
      </w:r>
      <w:r w:rsidRPr="00AB0A13">
        <w:rPr>
          <w:rFonts w:ascii="Verdana" w:hAnsi="Verdana"/>
        </w:rPr>
        <w:t>(1), 1-23. doi:</w:t>
      </w:r>
      <w:hyperlink r:id="rId27" w:history="1">
        <w:r w:rsidRPr="00AB0A13">
          <w:rPr>
            <w:rStyle w:val="Hyperlink"/>
            <w:rFonts w:ascii="Verdana" w:hAnsi="Verdana"/>
          </w:rPr>
          <w:t>https://doi.org/10.1111/j.1475-6803.2008.00229.x</w:t>
        </w:r>
        <w:bookmarkEnd w:id="29"/>
      </w:hyperlink>
    </w:p>
    <w:p w14:paraId="490EB1B3" w14:textId="77777777" w:rsidR="004372FE" w:rsidRPr="00AB0A13" w:rsidRDefault="004372FE" w:rsidP="004372FE">
      <w:pPr>
        <w:pStyle w:val="EndNoteBibliography"/>
        <w:spacing w:after="0"/>
        <w:ind w:left="720" w:hanging="720"/>
        <w:rPr>
          <w:rFonts w:ascii="Verdana" w:hAnsi="Verdana"/>
        </w:rPr>
      </w:pPr>
      <w:bookmarkStart w:id="30" w:name="_ENREF_17"/>
      <w:r w:rsidRPr="00AB0A13">
        <w:rPr>
          <w:rFonts w:ascii="Verdana" w:hAnsi="Verdana"/>
        </w:rPr>
        <w:t xml:space="preserve">Fisher, K. L., &amp; Statman, M. (2003). Consumer confidence and stock returns. </w:t>
      </w:r>
      <w:r w:rsidRPr="00AB0A13">
        <w:rPr>
          <w:rFonts w:ascii="Verdana" w:hAnsi="Verdana"/>
          <w:i/>
        </w:rPr>
        <w:t>Journal of Portfolio Management, 30</w:t>
      </w:r>
      <w:r w:rsidRPr="00AB0A13">
        <w:rPr>
          <w:rFonts w:ascii="Verdana" w:hAnsi="Verdana"/>
        </w:rPr>
        <w:t xml:space="preserve">(1), 115-127. </w:t>
      </w:r>
      <w:bookmarkEnd w:id="30"/>
    </w:p>
    <w:p w14:paraId="739898EB" w14:textId="7500F6F2" w:rsidR="004372FE" w:rsidRPr="00AB0A13" w:rsidRDefault="004372FE" w:rsidP="004372FE">
      <w:pPr>
        <w:pStyle w:val="EndNoteBibliography"/>
        <w:spacing w:after="0"/>
        <w:ind w:left="720" w:hanging="720"/>
        <w:rPr>
          <w:rFonts w:ascii="Verdana" w:hAnsi="Verdana"/>
        </w:rPr>
      </w:pPr>
      <w:bookmarkStart w:id="31" w:name="_ENREF_18"/>
      <w:r w:rsidRPr="00AB0A13">
        <w:rPr>
          <w:rFonts w:ascii="Verdana" w:hAnsi="Verdana"/>
        </w:rPr>
        <w:t xml:space="preserve">Furnham, A., &amp; Cheng, H. (2017). Socio-demographic indicators, intelligence, and locus of control as predictors of adult financial well-being. </w:t>
      </w:r>
      <w:r w:rsidRPr="00AB0A13">
        <w:rPr>
          <w:rFonts w:ascii="Verdana" w:hAnsi="Verdana"/>
          <w:i/>
        </w:rPr>
        <w:t>Journal of intelligence, 5</w:t>
      </w:r>
      <w:r w:rsidRPr="00AB0A13">
        <w:rPr>
          <w:rFonts w:ascii="Verdana" w:hAnsi="Verdana"/>
        </w:rPr>
        <w:t>(2), 11. doi:</w:t>
      </w:r>
      <w:hyperlink r:id="rId28" w:history="1">
        <w:r w:rsidRPr="00AB0A13">
          <w:rPr>
            <w:rStyle w:val="Hyperlink"/>
            <w:rFonts w:ascii="Verdana" w:hAnsi="Verdana"/>
          </w:rPr>
          <w:t>https://doi.org/10.3390/jintelligence5020011</w:t>
        </w:r>
        <w:bookmarkEnd w:id="31"/>
      </w:hyperlink>
    </w:p>
    <w:p w14:paraId="3516F2FD" w14:textId="77777777" w:rsidR="004372FE" w:rsidRPr="00AB0A13" w:rsidRDefault="004372FE" w:rsidP="004372FE">
      <w:pPr>
        <w:pStyle w:val="EndNoteBibliography"/>
        <w:spacing w:after="0"/>
        <w:ind w:left="720" w:hanging="720"/>
        <w:rPr>
          <w:rFonts w:ascii="Verdana" w:hAnsi="Verdana"/>
        </w:rPr>
      </w:pPr>
      <w:bookmarkStart w:id="32" w:name="_ENREF_19"/>
      <w:r w:rsidRPr="00AB0A13">
        <w:rPr>
          <w:rFonts w:ascii="Verdana" w:hAnsi="Verdana"/>
        </w:rPr>
        <w:t xml:space="preserve">Gilliam, J., Chatterjee, S., &amp; Zhu, D. (2010). Determinants of risk tolerance in the baby boomer cohort. </w:t>
      </w:r>
      <w:r w:rsidRPr="00AB0A13">
        <w:rPr>
          <w:rFonts w:ascii="Verdana" w:hAnsi="Verdana"/>
          <w:i/>
        </w:rPr>
        <w:t>Journal of Business &amp; Economics Research, 8</w:t>
      </w:r>
      <w:r w:rsidRPr="00AB0A13">
        <w:rPr>
          <w:rFonts w:ascii="Verdana" w:hAnsi="Verdana"/>
        </w:rPr>
        <w:t xml:space="preserve">(5). </w:t>
      </w:r>
      <w:bookmarkEnd w:id="32"/>
    </w:p>
    <w:p w14:paraId="33686E5B" w14:textId="278A9EE3" w:rsidR="004372FE" w:rsidRPr="00AB0A13" w:rsidRDefault="004372FE" w:rsidP="004372FE">
      <w:pPr>
        <w:pStyle w:val="EndNoteBibliography"/>
        <w:spacing w:after="0"/>
        <w:ind w:left="720" w:hanging="720"/>
        <w:rPr>
          <w:rFonts w:ascii="Verdana" w:hAnsi="Verdana"/>
        </w:rPr>
      </w:pPr>
      <w:bookmarkStart w:id="33" w:name="_ENREF_20"/>
      <w:r w:rsidRPr="00AB0A13">
        <w:rPr>
          <w:rFonts w:ascii="Verdana" w:hAnsi="Verdana"/>
        </w:rPr>
        <w:t>Grable, J., &amp; Lytton, R. H. (1999). Financial risk tolerance revisited: the development of a risk assessment instrument</w:t>
      </w:r>
      <w:r w:rsidRPr="00AB0A13">
        <w:rPr>
          <w:rFonts w:ascii="Segoe UI Symbol" w:hAnsi="Segoe UI Symbol" w:cs="Segoe UI Symbol"/>
        </w:rPr>
        <w:t>☆</w:t>
      </w:r>
      <w:r w:rsidRPr="00AB0A13">
        <w:rPr>
          <w:rFonts w:ascii="Verdana" w:hAnsi="Verdana"/>
        </w:rPr>
        <w:t xml:space="preserve">. </w:t>
      </w:r>
      <w:r w:rsidRPr="00AB0A13">
        <w:rPr>
          <w:rFonts w:ascii="Verdana" w:hAnsi="Verdana"/>
          <w:i/>
        </w:rPr>
        <w:t>Financial Services Review, 8</w:t>
      </w:r>
      <w:r w:rsidRPr="00AB0A13">
        <w:rPr>
          <w:rFonts w:ascii="Verdana" w:hAnsi="Verdana"/>
        </w:rPr>
        <w:t>(3), 163-181. doi:</w:t>
      </w:r>
      <w:hyperlink r:id="rId29" w:history="1">
        <w:r w:rsidRPr="00AB0A13">
          <w:rPr>
            <w:rStyle w:val="Hyperlink"/>
            <w:rFonts w:ascii="Verdana" w:hAnsi="Verdana"/>
          </w:rPr>
          <w:t>https://doi.org/10.1016/S1057-0810(99)00041-4</w:t>
        </w:r>
        <w:bookmarkEnd w:id="33"/>
      </w:hyperlink>
    </w:p>
    <w:p w14:paraId="7F8BDE59" w14:textId="3067A956" w:rsidR="004372FE" w:rsidRPr="00AB0A13" w:rsidRDefault="004372FE" w:rsidP="004372FE">
      <w:pPr>
        <w:pStyle w:val="EndNoteBibliography"/>
        <w:spacing w:after="0"/>
        <w:ind w:left="720" w:hanging="720"/>
        <w:rPr>
          <w:rFonts w:ascii="Verdana" w:hAnsi="Verdana"/>
        </w:rPr>
      </w:pPr>
      <w:bookmarkStart w:id="34" w:name="_ENREF_21"/>
      <w:r w:rsidRPr="00AB0A13">
        <w:rPr>
          <w:rFonts w:ascii="Verdana" w:hAnsi="Verdana"/>
        </w:rPr>
        <w:t xml:space="preserve">Grable, J. E. (1997). </w:t>
      </w:r>
      <w:r w:rsidRPr="00AB0A13">
        <w:rPr>
          <w:rFonts w:ascii="Verdana" w:hAnsi="Verdana"/>
          <w:i/>
        </w:rPr>
        <w:t>Investor risk tolerance: Testing the efficacy of demographics as differentiating and classifying factors.</w:t>
      </w:r>
      <w:r w:rsidRPr="00AB0A13">
        <w:rPr>
          <w:rFonts w:ascii="Verdana" w:hAnsi="Verdana"/>
        </w:rPr>
        <w:t xml:space="preserve"> Virginia Tech, Retrieved from </w:t>
      </w:r>
      <w:hyperlink r:id="rId30" w:history="1">
        <w:r w:rsidRPr="00AB0A13">
          <w:rPr>
            <w:rStyle w:val="Hyperlink"/>
            <w:rFonts w:ascii="Verdana" w:hAnsi="Verdana"/>
          </w:rPr>
          <w:t>http://hdl.handle.net/10919/30762</w:t>
        </w:r>
      </w:hyperlink>
      <w:r w:rsidRPr="00AB0A13">
        <w:rPr>
          <w:rFonts w:ascii="Verdana" w:hAnsi="Verdana"/>
        </w:rPr>
        <w:t xml:space="preserve"> </w:t>
      </w:r>
      <w:bookmarkEnd w:id="34"/>
    </w:p>
    <w:p w14:paraId="72213CAA" w14:textId="431409FE" w:rsidR="004372FE" w:rsidRPr="00AB0A13" w:rsidRDefault="004372FE" w:rsidP="004372FE">
      <w:pPr>
        <w:pStyle w:val="EndNoteBibliography"/>
        <w:spacing w:after="0"/>
        <w:ind w:left="720" w:hanging="720"/>
        <w:rPr>
          <w:rFonts w:ascii="Verdana" w:hAnsi="Verdana"/>
        </w:rPr>
      </w:pPr>
      <w:bookmarkStart w:id="35" w:name="_ENREF_22"/>
      <w:r w:rsidRPr="00AB0A13">
        <w:rPr>
          <w:rFonts w:ascii="Verdana" w:hAnsi="Verdana"/>
        </w:rPr>
        <w:t xml:space="preserve">Grable, J. E. (2000). Financial risk tolerance and additional factors that affect risk taking in everyday money matters. </w:t>
      </w:r>
      <w:r w:rsidRPr="00AB0A13">
        <w:rPr>
          <w:rFonts w:ascii="Verdana" w:hAnsi="Verdana"/>
          <w:i/>
        </w:rPr>
        <w:t>Journal of business and psychology, 14</w:t>
      </w:r>
      <w:r w:rsidRPr="00AB0A13">
        <w:rPr>
          <w:rFonts w:ascii="Verdana" w:hAnsi="Verdana"/>
        </w:rPr>
        <w:t>, 625-630. doi:</w:t>
      </w:r>
      <w:hyperlink r:id="rId31" w:history="1">
        <w:r w:rsidRPr="00AB0A13">
          <w:rPr>
            <w:rStyle w:val="Hyperlink"/>
            <w:rFonts w:ascii="Verdana" w:hAnsi="Verdana"/>
          </w:rPr>
          <w:t>https://doi.org/10.1023/A:1022994314982</w:t>
        </w:r>
        <w:bookmarkEnd w:id="35"/>
      </w:hyperlink>
    </w:p>
    <w:p w14:paraId="63E5ED4B" w14:textId="77777777" w:rsidR="004372FE" w:rsidRPr="00AB0A13" w:rsidRDefault="004372FE" w:rsidP="004372FE">
      <w:pPr>
        <w:pStyle w:val="EndNoteBibliography"/>
        <w:spacing w:after="0"/>
        <w:ind w:left="720" w:hanging="720"/>
        <w:rPr>
          <w:rFonts w:ascii="Verdana" w:hAnsi="Verdana"/>
        </w:rPr>
      </w:pPr>
      <w:bookmarkStart w:id="36" w:name="_ENREF_23"/>
      <w:r w:rsidRPr="00AB0A13">
        <w:rPr>
          <w:rFonts w:ascii="Verdana" w:hAnsi="Verdana"/>
        </w:rPr>
        <w:lastRenderedPageBreak/>
        <w:t xml:space="preserve">Grable, J. E., &amp; Lytton, R. H. (2001). Assessing the concurrent validity of the SCF risk tolerance question. </w:t>
      </w:r>
      <w:r w:rsidRPr="00AB0A13">
        <w:rPr>
          <w:rFonts w:ascii="Verdana" w:hAnsi="Verdana"/>
          <w:i/>
        </w:rPr>
        <w:t>Journal of Financial Counseling and Planning, 12</w:t>
      </w:r>
      <w:r w:rsidRPr="00AB0A13">
        <w:rPr>
          <w:rFonts w:ascii="Verdana" w:hAnsi="Verdana"/>
        </w:rPr>
        <w:t xml:space="preserve">(2), 43. </w:t>
      </w:r>
      <w:bookmarkEnd w:id="36"/>
    </w:p>
    <w:p w14:paraId="0B99B49C" w14:textId="436FC437" w:rsidR="004372FE" w:rsidRPr="00AB0A13" w:rsidRDefault="004372FE" w:rsidP="004372FE">
      <w:pPr>
        <w:pStyle w:val="EndNoteBibliography"/>
        <w:spacing w:after="0"/>
        <w:ind w:left="720" w:hanging="720"/>
        <w:rPr>
          <w:rFonts w:ascii="Verdana" w:hAnsi="Verdana"/>
        </w:rPr>
      </w:pPr>
      <w:bookmarkStart w:id="37" w:name="_ENREF_24"/>
      <w:r w:rsidRPr="00AB0A13">
        <w:rPr>
          <w:rFonts w:ascii="Verdana" w:hAnsi="Verdana"/>
        </w:rPr>
        <w:t xml:space="preserve">Grable, J. E., &amp; Roszkowski, M. J. (2007). Self-assessments of risk tolerance by women and men. </w:t>
      </w:r>
      <w:r w:rsidRPr="00AB0A13">
        <w:rPr>
          <w:rFonts w:ascii="Verdana" w:hAnsi="Verdana"/>
          <w:i/>
        </w:rPr>
        <w:t>Psychological Reports, 100</w:t>
      </w:r>
      <w:r w:rsidRPr="00AB0A13">
        <w:rPr>
          <w:rFonts w:ascii="Verdana" w:hAnsi="Verdana"/>
        </w:rPr>
        <w:t>(3), 795-802. doi:</w:t>
      </w:r>
      <w:hyperlink r:id="rId32" w:history="1">
        <w:r w:rsidRPr="00AB0A13">
          <w:rPr>
            <w:rStyle w:val="Hyperlink"/>
            <w:rFonts w:ascii="Verdana" w:hAnsi="Verdana"/>
          </w:rPr>
          <w:t>https://doi.org/10.2466/pr0.100.3.795-802</w:t>
        </w:r>
        <w:bookmarkEnd w:id="37"/>
      </w:hyperlink>
    </w:p>
    <w:p w14:paraId="59F3A754" w14:textId="77777777" w:rsidR="004372FE" w:rsidRPr="00AB0A13" w:rsidRDefault="004372FE" w:rsidP="004372FE">
      <w:pPr>
        <w:pStyle w:val="EndNoteBibliography"/>
        <w:spacing w:after="0"/>
        <w:ind w:left="720" w:hanging="720"/>
        <w:rPr>
          <w:rFonts w:ascii="Verdana" w:hAnsi="Verdana"/>
        </w:rPr>
      </w:pPr>
      <w:bookmarkStart w:id="38" w:name="_ENREF_25"/>
      <w:r w:rsidRPr="00AB0A13">
        <w:rPr>
          <w:rFonts w:ascii="Verdana" w:hAnsi="Verdana"/>
        </w:rPr>
        <w:t xml:space="preserve">Hallahan, T. A., Faff, R. W., &amp; McKenzie, M. D. (2004). An empirical investigation of personal financial risk tolerance. </w:t>
      </w:r>
      <w:r w:rsidRPr="00AB0A13">
        <w:rPr>
          <w:rFonts w:ascii="Verdana" w:hAnsi="Verdana"/>
          <w:i/>
        </w:rPr>
        <w:t>Financial Services Review-greenwich-, 13</w:t>
      </w:r>
      <w:r w:rsidRPr="00AB0A13">
        <w:rPr>
          <w:rFonts w:ascii="Verdana" w:hAnsi="Verdana"/>
        </w:rPr>
        <w:t xml:space="preserve">(1), 57-78. </w:t>
      </w:r>
      <w:bookmarkEnd w:id="38"/>
    </w:p>
    <w:p w14:paraId="074A1A7D" w14:textId="77777777" w:rsidR="004372FE" w:rsidRPr="00AB0A13" w:rsidRDefault="004372FE" w:rsidP="004372FE">
      <w:pPr>
        <w:pStyle w:val="EndNoteBibliography"/>
        <w:spacing w:after="0"/>
        <w:ind w:left="720" w:hanging="720"/>
        <w:rPr>
          <w:rFonts w:ascii="Verdana" w:hAnsi="Verdana"/>
        </w:rPr>
      </w:pPr>
      <w:bookmarkStart w:id="39" w:name="_ENREF_26"/>
      <w:r w:rsidRPr="00AB0A13">
        <w:rPr>
          <w:rFonts w:ascii="Verdana" w:hAnsi="Verdana"/>
        </w:rPr>
        <w:t xml:space="preserve">Hamza, N., &amp; Arif, I. (2019). Impact of financial literacy on investment decisions: The mediating effect of big-five personality traits model. </w:t>
      </w:r>
      <w:r w:rsidRPr="00AB0A13">
        <w:rPr>
          <w:rFonts w:ascii="Verdana" w:hAnsi="Verdana"/>
          <w:i/>
        </w:rPr>
        <w:t>Market Forces, 14</w:t>
      </w:r>
      <w:r w:rsidRPr="00AB0A13">
        <w:rPr>
          <w:rFonts w:ascii="Verdana" w:hAnsi="Verdana"/>
        </w:rPr>
        <w:t xml:space="preserve">(1). </w:t>
      </w:r>
      <w:bookmarkEnd w:id="39"/>
    </w:p>
    <w:p w14:paraId="71C7733B" w14:textId="77777777" w:rsidR="004372FE" w:rsidRPr="00AB0A13" w:rsidRDefault="004372FE" w:rsidP="004372FE">
      <w:pPr>
        <w:pStyle w:val="EndNoteBibliography"/>
        <w:spacing w:after="0"/>
        <w:ind w:left="720" w:hanging="720"/>
        <w:rPr>
          <w:rFonts w:ascii="Verdana" w:hAnsi="Verdana"/>
        </w:rPr>
      </w:pPr>
      <w:bookmarkStart w:id="40" w:name="_ENREF_27"/>
      <w:r w:rsidRPr="00AB0A13">
        <w:rPr>
          <w:rFonts w:ascii="Verdana" w:hAnsi="Verdana"/>
        </w:rPr>
        <w:t xml:space="preserve">Hanna, S. D., &amp; Lindamood, S. (2004). An improved measure of risk aversion. </w:t>
      </w:r>
      <w:r w:rsidRPr="00AB0A13">
        <w:rPr>
          <w:rFonts w:ascii="Verdana" w:hAnsi="Verdana"/>
          <w:i/>
        </w:rPr>
        <w:t>Journal of Financial Counseling and Planning, 15</w:t>
      </w:r>
      <w:r w:rsidRPr="00AB0A13">
        <w:rPr>
          <w:rFonts w:ascii="Verdana" w:hAnsi="Verdana"/>
        </w:rPr>
        <w:t xml:space="preserve">(2), 27-45. </w:t>
      </w:r>
      <w:bookmarkEnd w:id="40"/>
    </w:p>
    <w:p w14:paraId="03CFF301" w14:textId="600B43A4" w:rsidR="004372FE" w:rsidRPr="00AB0A13" w:rsidRDefault="004372FE" w:rsidP="004372FE">
      <w:pPr>
        <w:pStyle w:val="EndNoteBibliography"/>
        <w:spacing w:after="0"/>
        <w:ind w:left="720" w:hanging="720"/>
        <w:rPr>
          <w:rFonts w:ascii="Verdana" w:hAnsi="Verdana"/>
        </w:rPr>
      </w:pPr>
      <w:bookmarkStart w:id="41" w:name="_ENREF_28"/>
      <w:r w:rsidRPr="00AB0A13">
        <w:rPr>
          <w:rFonts w:ascii="Verdana" w:hAnsi="Verdana"/>
        </w:rPr>
        <w:t xml:space="preserve">Hanoch, Y., &amp; Vitouch, O. (2004). When less is more: Information, emotional arousal and the ecological reframing of the Yerkes-Dodson law. </w:t>
      </w:r>
      <w:r w:rsidRPr="00AB0A13">
        <w:rPr>
          <w:rFonts w:ascii="Verdana" w:hAnsi="Verdana"/>
          <w:i/>
        </w:rPr>
        <w:t>Theory &amp; Psychology, 14</w:t>
      </w:r>
      <w:r w:rsidRPr="00AB0A13">
        <w:rPr>
          <w:rFonts w:ascii="Verdana" w:hAnsi="Verdana"/>
        </w:rPr>
        <w:t>(4), 427-452. doi:</w:t>
      </w:r>
      <w:hyperlink r:id="rId33" w:history="1">
        <w:r w:rsidRPr="00AB0A13">
          <w:rPr>
            <w:rStyle w:val="Hyperlink"/>
            <w:rFonts w:ascii="Verdana" w:hAnsi="Verdana"/>
          </w:rPr>
          <w:t>https://doi.org/10.1177/0959354304044918</w:t>
        </w:r>
        <w:bookmarkEnd w:id="41"/>
      </w:hyperlink>
    </w:p>
    <w:p w14:paraId="3FFFB154" w14:textId="77777777" w:rsidR="004372FE" w:rsidRPr="00AB0A13" w:rsidRDefault="004372FE" w:rsidP="004372FE">
      <w:pPr>
        <w:pStyle w:val="EndNoteBibliography"/>
        <w:spacing w:after="0"/>
        <w:ind w:left="720" w:hanging="720"/>
        <w:rPr>
          <w:rFonts w:ascii="Verdana" w:hAnsi="Verdana"/>
        </w:rPr>
      </w:pPr>
      <w:bookmarkStart w:id="42" w:name="_ENREF_29"/>
      <w:r w:rsidRPr="00AB0A13">
        <w:rPr>
          <w:rFonts w:ascii="Verdana" w:hAnsi="Verdana"/>
        </w:rPr>
        <w:t xml:space="preserve">Hawley, C. B., &amp; Fujii, E. T. (1993). An empirical analysis of preferences for financial risk: Further evidence on the Friedman-Savage model. </w:t>
      </w:r>
      <w:r w:rsidRPr="00AB0A13">
        <w:rPr>
          <w:rFonts w:ascii="Verdana" w:hAnsi="Verdana"/>
          <w:i/>
        </w:rPr>
        <w:t>Journal of Post Keynesian Economics, 16</w:t>
      </w:r>
      <w:r w:rsidRPr="00AB0A13">
        <w:rPr>
          <w:rFonts w:ascii="Verdana" w:hAnsi="Verdana"/>
        </w:rPr>
        <w:t xml:space="preserve">(2), 197-204. </w:t>
      </w:r>
      <w:bookmarkEnd w:id="42"/>
    </w:p>
    <w:p w14:paraId="7A73C68F" w14:textId="2586651B" w:rsidR="004372FE" w:rsidRPr="00AB0A13" w:rsidRDefault="004372FE" w:rsidP="004372FE">
      <w:pPr>
        <w:pStyle w:val="EndNoteBibliography"/>
        <w:spacing w:after="0"/>
        <w:ind w:left="720" w:hanging="720"/>
        <w:rPr>
          <w:rFonts w:ascii="Verdana" w:hAnsi="Verdana"/>
        </w:rPr>
      </w:pPr>
      <w:bookmarkStart w:id="43" w:name="_ENREF_30"/>
      <w:r w:rsidRPr="00AB0A13">
        <w:rPr>
          <w:rFonts w:ascii="Verdana" w:hAnsi="Verdana"/>
        </w:rPr>
        <w:t xml:space="preserve">Ho, K., Milevsky, M. A., &amp; Robinson, C. (1994). Asset allocation, life expectancy and shortfall. </w:t>
      </w:r>
      <w:r w:rsidRPr="00AB0A13">
        <w:rPr>
          <w:rFonts w:ascii="Verdana" w:hAnsi="Verdana"/>
          <w:i/>
        </w:rPr>
        <w:t>Financial Services Review, 3</w:t>
      </w:r>
      <w:r w:rsidRPr="00AB0A13">
        <w:rPr>
          <w:rFonts w:ascii="Verdana" w:hAnsi="Verdana"/>
        </w:rPr>
        <w:t>(2), 109-126. doi:</w:t>
      </w:r>
      <w:hyperlink r:id="rId34" w:history="1">
        <w:r w:rsidRPr="00AB0A13">
          <w:rPr>
            <w:rStyle w:val="Hyperlink"/>
            <w:rFonts w:ascii="Verdana" w:hAnsi="Verdana"/>
          </w:rPr>
          <w:t>https://doi.org/10.1016/1057-0810(94)90017-5</w:t>
        </w:r>
        <w:bookmarkEnd w:id="43"/>
      </w:hyperlink>
    </w:p>
    <w:p w14:paraId="677C3E43" w14:textId="1F5351D5" w:rsidR="004372FE" w:rsidRPr="00AB0A13" w:rsidRDefault="004372FE" w:rsidP="004372FE">
      <w:pPr>
        <w:pStyle w:val="EndNoteBibliography"/>
        <w:spacing w:after="0"/>
        <w:ind w:left="720" w:hanging="720"/>
        <w:rPr>
          <w:rFonts w:ascii="Verdana" w:hAnsi="Verdana"/>
        </w:rPr>
      </w:pPr>
      <w:bookmarkStart w:id="44" w:name="_ENREF_31"/>
      <w:r w:rsidRPr="00AB0A13">
        <w:rPr>
          <w:rFonts w:ascii="Verdana" w:hAnsi="Verdana"/>
        </w:rPr>
        <w:t xml:space="preserve">Jianakoplos, N. A., &amp; Bernasek, A. (2006). Financial risk taking by age and birth cohort. </w:t>
      </w:r>
      <w:r w:rsidRPr="00AB0A13">
        <w:rPr>
          <w:rFonts w:ascii="Verdana" w:hAnsi="Verdana"/>
          <w:i/>
        </w:rPr>
        <w:t>Southern Economic Journal, 72</w:t>
      </w:r>
      <w:r w:rsidRPr="00AB0A13">
        <w:rPr>
          <w:rFonts w:ascii="Verdana" w:hAnsi="Verdana"/>
        </w:rPr>
        <w:t xml:space="preserve">(4), 981-1001. doi: </w:t>
      </w:r>
      <w:hyperlink r:id="rId35" w:history="1">
        <w:r w:rsidRPr="00AB0A13">
          <w:rPr>
            <w:rStyle w:val="Hyperlink"/>
            <w:rFonts w:ascii="Verdana" w:hAnsi="Verdana"/>
          </w:rPr>
          <w:t>https://doi.org/10.1002/j.2325-8012.2006.tb00749.x</w:t>
        </w:r>
        <w:bookmarkEnd w:id="44"/>
      </w:hyperlink>
    </w:p>
    <w:p w14:paraId="07FE109E" w14:textId="77777777" w:rsidR="004372FE" w:rsidRPr="00AB0A13" w:rsidRDefault="004372FE" w:rsidP="004372FE">
      <w:pPr>
        <w:pStyle w:val="EndNoteBibliography"/>
        <w:spacing w:after="0"/>
        <w:ind w:left="720" w:hanging="720"/>
        <w:rPr>
          <w:rFonts w:ascii="Verdana" w:hAnsi="Verdana"/>
        </w:rPr>
      </w:pPr>
      <w:bookmarkStart w:id="45" w:name="_ENREF_32"/>
      <w:r w:rsidRPr="00AB0A13">
        <w:rPr>
          <w:rFonts w:ascii="Verdana" w:hAnsi="Verdana"/>
        </w:rPr>
        <w:t xml:space="preserve">John, O. P., &amp; Srivastava, S. (1999). The Big-Five trait taxonomy: History, measurement, and theoretical perspectives. </w:t>
      </w:r>
      <w:bookmarkEnd w:id="45"/>
    </w:p>
    <w:p w14:paraId="0E1AC5C1" w14:textId="411B7D7A" w:rsidR="004372FE" w:rsidRPr="00AB0A13" w:rsidRDefault="004372FE" w:rsidP="004372FE">
      <w:pPr>
        <w:pStyle w:val="EndNoteBibliography"/>
        <w:spacing w:after="0"/>
        <w:ind w:left="720" w:hanging="720"/>
        <w:rPr>
          <w:rFonts w:ascii="Verdana" w:hAnsi="Verdana"/>
        </w:rPr>
      </w:pPr>
      <w:bookmarkStart w:id="46" w:name="_ENREF_33"/>
      <w:r w:rsidRPr="00AB0A13">
        <w:rPr>
          <w:rFonts w:ascii="Verdana" w:hAnsi="Verdana"/>
        </w:rPr>
        <w:t xml:space="preserve">Kable, J. W., &amp; Glimcher, P. W. (2007). The neural correlates of subjective value during intertemporal choice. </w:t>
      </w:r>
      <w:r w:rsidRPr="00AB0A13">
        <w:rPr>
          <w:rFonts w:ascii="Verdana" w:hAnsi="Verdana"/>
          <w:i/>
        </w:rPr>
        <w:t>Nature neuroscience, 10</w:t>
      </w:r>
      <w:r w:rsidRPr="00AB0A13">
        <w:rPr>
          <w:rFonts w:ascii="Verdana" w:hAnsi="Verdana"/>
        </w:rPr>
        <w:t>(12), 1625-1633. doi:</w:t>
      </w:r>
      <w:hyperlink r:id="rId36" w:history="1">
        <w:r w:rsidRPr="00AB0A13">
          <w:rPr>
            <w:rStyle w:val="Hyperlink"/>
            <w:rFonts w:ascii="Verdana" w:hAnsi="Verdana"/>
          </w:rPr>
          <w:t>https://doi.org/10.1038/nn2007</w:t>
        </w:r>
        <w:bookmarkEnd w:id="46"/>
      </w:hyperlink>
    </w:p>
    <w:p w14:paraId="7A2C2D2F" w14:textId="30C5BC16" w:rsidR="004372FE" w:rsidRPr="00AB0A13" w:rsidRDefault="004372FE" w:rsidP="004372FE">
      <w:pPr>
        <w:pStyle w:val="EndNoteBibliography"/>
        <w:spacing w:after="0"/>
        <w:ind w:left="720" w:hanging="720"/>
        <w:rPr>
          <w:rFonts w:ascii="Verdana" w:hAnsi="Verdana"/>
        </w:rPr>
      </w:pPr>
      <w:bookmarkStart w:id="47" w:name="_ENREF_34"/>
      <w:r w:rsidRPr="00AB0A13">
        <w:rPr>
          <w:rFonts w:ascii="Verdana" w:hAnsi="Verdana"/>
        </w:rPr>
        <w:t>Kahneman, D., &amp; Tversky, A. (1979). On the interpretation of intuitive probability: A reply to Jonathan Cohen. doi:</w:t>
      </w:r>
      <w:hyperlink r:id="rId37" w:history="1">
        <w:r w:rsidRPr="00AB0A13">
          <w:rPr>
            <w:rStyle w:val="Hyperlink"/>
            <w:rFonts w:ascii="Verdana" w:hAnsi="Verdana"/>
          </w:rPr>
          <w:t>https://doi.org/10.1016/0010-0277(79)90024-6</w:t>
        </w:r>
        <w:bookmarkEnd w:id="47"/>
      </w:hyperlink>
    </w:p>
    <w:p w14:paraId="560A4A9A" w14:textId="77777777" w:rsidR="004372FE" w:rsidRPr="00AB0A13" w:rsidRDefault="004372FE" w:rsidP="004372FE">
      <w:pPr>
        <w:pStyle w:val="EndNoteBibliography"/>
        <w:spacing w:after="0"/>
        <w:ind w:left="720" w:hanging="720"/>
        <w:rPr>
          <w:rFonts w:ascii="Verdana" w:hAnsi="Verdana"/>
        </w:rPr>
      </w:pPr>
      <w:bookmarkStart w:id="48" w:name="_ENREF_35"/>
      <w:r w:rsidRPr="00AB0A13">
        <w:rPr>
          <w:rFonts w:ascii="Verdana" w:hAnsi="Verdana"/>
        </w:rPr>
        <w:t xml:space="preserve">Kahneman, D., &amp; Tversky, A. (2013). Prospect theory: An analysis of decision under risk. In </w:t>
      </w:r>
      <w:r w:rsidRPr="00AB0A13">
        <w:rPr>
          <w:rFonts w:ascii="Verdana" w:hAnsi="Verdana"/>
          <w:i/>
        </w:rPr>
        <w:t>Handbook of the fundamentals of financial decision making: Part I</w:t>
      </w:r>
      <w:r w:rsidRPr="00AB0A13">
        <w:rPr>
          <w:rFonts w:ascii="Verdana" w:hAnsi="Verdana"/>
        </w:rPr>
        <w:t xml:space="preserve"> (pp. 99-127): World Scientific.</w:t>
      </w:r>
      <w:bookmarkEnd w:id="48"/>
    </w:p>
    <w:p w14:paraId="4783E5D8" w14:textId="77777777" w:rsidR="004372FE" w:rsidRPr="00AB0A13" w:rsidRDefault="004372FE" w:rsidP="004372FE">
      <w:pPr>
        <w:pStyle w:val="EndNoteBibliography"/>
        <w:spacing w:after="0"/>
        <w:ind w:left="720" w:hanging="720"/>
        <w:rPr>
          <w:rFonts w:ascii="Verdana" w:hAnsi="Verdana"/>
        </w:rPr>
      </w:pPr>
      <w:bookmarkStart w:id="49" w:name="_ENREF_36"/>
      <w:r w:rsidRPr="00AB0A13">
        <w:rPr>
          <w:rFonts w:ascii="Verdana" w:hAnsi="Verdana"/>
        </w:rPr>
        <w:t xml:space="preserve">Kalabalik, Y., &amp; Aren, S. (2018). </w:t>
      </w:r>
      <w:r w:rsidRPr="00AB0A13">
        <w:rPr>
          <w:rFonts w:ascii="Verdana" w:hAnsi="Verdana"/>
          <w:i/>
        </w:rPr>
        <w:t>The effects of demographic factors on the relationship between personality traits and financial Risk taking.</w:t>
      </w:r>
      <w:r w:rsidRPr="00AB0A13">
        <w:rPr>
          <w:rFonts w:ascii="Verdana" w:hAnsi="Verdana"/>
        </w:rPr>
        <w:t xml:space="preserve"> Paper presented at the Spring International Congress of Management, Economy and Policy, Istanbul, Turkiye.</w:t>
      </w:r>
      <w:bookmarkEnd w:id="49"/>
    </w:p>
    <w:p w14:paraId="643F45A1" w14:textId="77777777" w:rsidR="004372FE" w:rsidRPr="00AB0A13" w:rsidRDefault="004372FE" w:rsidP="004372FE">
      <w:pPr>
        <w:pStyle w:val="EndNoteBibliography"/>
        <w:spacing w:after="0"/>
        <w:ind w:left="720" w:hanging="720"/>
        <w:rPr>
          <w:rFonts w:ascii="Verdana" w:hAnsi="Verdana"/>
        </w:rPr>
      </w:pPr>
      <w:bookmarkStart w:id="50" w:name="_ENREF_37"/>
      <w:r w:rsidRPr="00AB0A13">
        <w:rPr>
          <w:rFonts w:ascii="Verdana" w:hAnsi="Verdana"/>
        </w:rPr>
        <w:t xml:space="preserve">Kannadhasan, M. (2006). Risk Appetite and Attitudes of Retail Investors’ with Special Reference to Capital Market. </w:t>
      </w:r>
      <w:r w:rsidRPr="00AB0A13">
        <w:rPr>
          <w:rFonts w:ascii="Verdana" w:hAnsi="Verdana"/>
          <w:i/>
        </w:rPr>
        <w:t>management accountant, 41</w:t>
      </w:r>
      <w:r w:rsidRPr="00AB0A13">
        <w:rPr>
          <w:rFonts w:ascii="Verdana" w:hAnsi="Verdana"/>
        </w:rPr>
        <w:t xml:space="preserve">(6), 448-454. </w:t>
      </w:r>
      <w:bookmarkEnd w:id="50"/>
    </w:p>
    <w:p w14:paraId="5C6D59BC" w14:textId="77777777" w:rsidR="004372FE" w:rsidRPr="00AB0A13" w:rsidRDefault="004372FE" w:rsidP="004372FE">
      <w:pPr>
        <w:pStyle w:val="EndNoteBibliography"/>
        <w:spacing w:after="0"/>
        <w:ind w:left="720" w:hanging="720"/>
        <w:rPr>
          <w:rFonts w:ascii="Verdana" w:hAnsi="Verdana"/>
        </w:rPr>
      </w:pPr>
      <w:bookmarkStart w:id="51" w:name="_ENREF_38"/>
      <w:r w:rsidRPr="00AB0A13">
        <w:rPr>
          <w:rFonts w:ascii="Verdana" w:hAnsi="Verdana"/>
        </w:rPr>
        <w:t xml:space="preserve">Kumar, M., Mishra, G. J., Saxena, S., Singh, V., &amp; Kumar, M. (2020). Predicting effect of Personality Traits and Age on Emotional Intelligence. </w:t>
      </w:r>
      <w:r w:rsidRPr="00AB0A13">
        <w:rPr>
          <w:rFonts w:ascii="Verdana" w:hAnsi="Verdana"/>
          <w:i/>
        </w:rPr>
        <w:t>Indian Journal of Public Health Research &amp; Development, 11</w:t>
      </w:r>
      <w:r w:rsidRPr="00AB0A13">
        <w:rPr>
          <w:rFonts w:ascii="Verdana" w:hAnsi="Verdana"/>
        </w:rPr>
        <w:t xml:space="preserve">(3), 764-769. </w:t>
      </w:r>
      <w:bookmarkEnd w:id="51"/>
    </w:p>
    <w:p w14:paraId="5B52D8A6" w14:textId="7E6E5C30" w:rsidR="004372FE" w:rsidRPr="00AB0A13" w:rsidRDefault="004372FE" w:rsidP="004372FE">
      <w:pPr>
        <w:pStyle w:val="EndNoteBibliography"/>
        <w:spacing w:after="0"/>
        <w:ind w:left="720" w:hanging="720"/>
        <w:rPr>
          <w:rFonts w:ascii="Verdana" w:hAnsi="Verdana"/>
        </w:rPr>
      </w:pPr>
      <w:bookmarkStart w:id="52" w:name="_ENREF_39"/>
      <w:r w:rsidRPr="00AB0A13">
        <w:rPr>
          <w:rFonts w:ascii="Verdana" w:hAnsi="Verdana"/>
        </w:rPr>
        <w:t xml:space="preserve">Lee, S.-M., Kim, H.-N., Lee, J.-H., &amp; Kim, J.-B. (2019). Association between maternal and child oral health and dental caries in Korea. </w:t>
      </w:r>
      <w:r w:rsidRPr="00AB0A13">
        <w:rPr>
          <w:rFonts w:ascii="Verdana" w:hAnsi="Verdana"/>
          <w:i/>
        </w:rPr>
        <w:t>Journal of Public Health, 27</w:t>
      </w:r>
      <w:r w:rsidRPr="00AB0A13">
        <w:rPr>
          <w:rFonts w:ascii="Verdana" w:hAnsi="Verdana"/>
        </w:rPr>
        <w:t>(6), 219-227. doi:</w:t>
      </w:r>
      <w:hyperlink r:id="rId38" w:history="1">
        <w:r w:rsidRPr="00AB0A13">
          <w:rPr>
            <w:rStyle w:val="Hyperlink"/>
            <w:rFonts w:ascii="Verdana" w:hAnsi="Verdana"/>
          </w:rPr>
          <w:t>https://doi.org/10.1007/s10389-018-0936-2</w:t>
        </w:r>
        <w:bookmarkEnd w:id="52"/>
      </w:hyperlink>
    </w:p>
    <w:p w14:paraId="0499474E" w14:textId="5C1179F6" w:rsidR="004372FE" w:rsidRPr="00AB0A13" w:rsidRDefault="004372FE" w:rsidP="004372FE">
      <w:pPr>
        <w:pStyle w:val="EndNoteBibliography"/>
        <w:spacing w:after="0"/>
        <w:ind w:left="720" w:hanging="720"/>
        <w:rPr>
          <w:rFonts w:ascii="Verdana" w:hAnsi="Verdana"/>
        </w:rPr>
      </w:pPr>
      <w:bookmarkStart w:id="53" w:name="_ENREF_40"/>
      <w:r w:rsidRPr="00AB0A13">
        <w:rPr>
          <w:rFonts w:ascii="Verdana" w:hAnsi="Verdana"/>
        </w:rPr>
        <w:t xml:space="preserve">Lichtenstein, S., &amp; Slovic, P. (1971). Reversals of preference between bids and choices in gambling decisions. </w:t>
      </w:r>
      <w:r w:rsidRPr="00AB0A13">
        <w:rPr>
          <w:rFonts w:ascii="Verdana" w:hAnsi="Verdana"/>
          <w:i/>
        </w:rPr>
        <w:t>Journal of experimental psychology, 89</w:t>
      </w:r>
      <w:r w:rsidRPr="00AB0A13">
        <w:rPr>
          <w:rFonts w:ascii="Verdana" w:hAnsi="Verdana"/>
        </w:rPr>
        <w:t>(1), 46. doi:</w:t>
      </w:r>
      <w:hyperlink r:id="rId39" w:history="1">
        <w:r w:rsidRPr="00AB0A13">
          <w:rPr>
            <w:rStyle w:val="Hyperlink"/>
            <w:rFonts w:ascii="Verdana" w:hAnsi="Verdana"/>
          </w:rPr>
          <w:t>https://doi.org/10.1037/h0031207</w:t>
        </w:r>
        <w:bookmarkEnd w:id="53"/>
      </w:hyperlink>
    </w:p>
    <w:p w14:paraId="681BD4ED" w14:textId="7CBB6B05" w:rsidR="004372FE" w:rsidRPr="00AB0A13" w:rsidRDefault="004372FE" w:rsidP="004372FE">
      <w:pPr>
        <w:pStyle w:val="EndNoteBibliography"/>
        <w:spacing w:after="0"/>
        <w:ind w:left="720" w:hanging="720"/>
        <w:rPr>
          <w:rFonts w:ascii="Verdana" w:hAnsi="Verdana"/>
        </w:rPr>
      </w:pPr>
      <w:bookmarkStart w:id="54" w:name="_ENREF_41"/>
      <w:r w:rsidRPr="00AB0A13">
        <w:rPr>
          <w:rFonts w:ascii="Verdana" w:hAnsi="Verdana"/>
        </w:rPr>
        <w:t xml:space="preserve">Masters, K. S., &amp; Lambert, M. J. (1989). The relations between cognitive coping strategies, reasons for running, injury, and performance of marathon runners. </w:t>
      </w:r>
      <w:r w:rsidRPr="00AB0A13">
        <w:rPr>
          <w:rFonts w:ascii="Verdana" w:hAnsi="Verdana"/>
          <w:i/>
        </w:rPr>
        <w:t>Journal of Sport and Exercise Psychology, 11</w:t>
      </w:r>
      <w:r w:rsidRPr="00AB0A13">
        <w:rPr>
          <w:rFonts w:ascii="Verdana" w:hAnsi="Verdana"/>
        </w:rPr>
        <w:t>(2), 161-170. doi:</w:t>
      </w:r>
      <w:hyperlink r:id="rId40" w:history="1">
        <w:r w:rsidRPr="00AB0A13">
          <w:rPr>
            <w:rStyle w:val="Hyperlink"/>
            <w:rFonts w:ascii="Verdana" w:hAnsi="Verdana"/>
          </w:rPr>
          <w:t>https://doi.org/10.1123/jsep.11.2.161</w:t>
        </w:r>
        <w:bookmarkEnd w:id="54"/>
      </w:hyperlink>
    </w:p>
    <w:p w14:paraId="102EAF08" w14:textId="77777777" w:rsidR="004372FE" w:rsidRPr="00AB0A13" w:rsidRDefault="004372FE" w:rsidP="004372FE">
      <w:pPr>
        <w:pStyle w:val="EndNoteBibliography"/>
        <w:spacing w:after="0"/>
        <w:ind w:left="720" w:hanging="720"/>
        <w:rPr>
          <w:rFonts w:ascii="Verdana" w:hAnsi="Verdana"/>
        </w:rPr>
      </w:pPr>
      <w:bookmarkStart w:id="55" w:name="_ENREF_42"/>
      <w:r w:rsidRPr="00AB0A13">
        <w:rPr>
          <w:rFonts w:ascii="Verdana" w:hAnsi="Verdana"/>
        </w:rPr>
        <w:t xml:space="preserve">Mayfield, C., Perdue, G., &amp; Wooten, K. (2008). Investment management and personality type. </w:t>
      </w:r>
      <w:r w:rsidRPr="00AB0A13">
        <w:rPr>
          <w:rFonts w:ascii="Verdana" w:hAnsi="Verdana"/>
          <w:i/>
        </w:rPr>
        <w:t>Financial Services Review, 17</w:t>
      </w:r>
      <w:r w:rsidRPr="00AB0A13">
        <w:rPr>
          <w:rFonts w:ascii="Verdana" w:hAnsi="Verdana"/>
        </w:rPr>
        <w:t xml:space="preserve">(3), 219-236. </w:t>
      </w:r>
      <w:bookmarkEnd w:id="55"/>
    </w:p>
    <w:p w14:paraId="326DFF4A" w14:textId="5F7345A9" w:rsidR="004372FE" w:rsidRPr="00AB0A13" w:rsidRDefault="004372FE" w:rsidP="004372FE">
      <w:pPr>
        <w:pStyle w:val="EndNoteBibliography"/>
        <w:spacing w:after="0"/>
        <w:ind w:left="720" w:hanging="720"/>
        <w:rPr>
          <w:rFonts w:ascii="Verdana" w:hAnsi="Verdana"/>
        </w:rPr>
      </w:pPr>
      <w:bookmarkStart w:id="56" w:name="_ENREF_43"/>
      <w:r w:rsidRPr="00AB0A13">
        <w:rPr>
          <w:rFonts w:ascii="Verdana" w:hAnsi="Verdana"/>
        </w:rPr>
        <w:t>Mehmood, A., Akhter, K., Sadiq, N., Sultan, M., &amp; Akbar, H. (2019). DOUBLY COMMITTED SUB ARTERIAL VENTRICULAR SEPTAL DEEFCT DEVICE CLOSURE USING NIT-OCCLUD® PDA-</w:t>
      </w:r>
      <w:r w:rsidRPr="00AB0A13">
        <w:rPr>
          <w:rFonts w:ascii="Verdana" w:hAnsi="Verdana"/>
        </w:rPr>
        <w:lastRenderedPageBreak/>
        <w:t xml:space="preserve">R DEVICE: INITIAL EXPERIENCE IN PAKISTA. </w:t>
      </w:r>
      <w:r w:rsidRPr="00AB0A13">
        <w:rPr>
          <w:rFonts w:ascii="Verdana" w:hAnsi="Verdana"/>
          <w:i/>
        </w:rPr>
        <w:t>Pakistan Armed Forces Medical Journal, 69</w:t>
      </w:r>
      <w:r w:rsidRPr="00AB0A13">
        <w:rPr>
          <w:rFonts w:ascii="Verdana" w:hAnsi="Verdana"/>
        </w:rPr>
        <w:t>(Suppl-3), S404-408. doi:</w:t>
      </w:r>
      <w:hyperlink r:id="rId41" w:history="1">
        <w:r w:rsidRPr="00AB0A13">
          <w:rPr>
            <w:rStyle w:val="Hyperlink"/>
            <w:rFonts w:ascii="Verdana" w:hAnsi="Verdana"/>
          </w:rPr>
          <w:t>https://pafmj.org/PAFMJ/article/view/3551</w:t>
        </w:r>
        <w:bookmarkEnd w:id="56"/>
      </w:hyperlink>
    </w:p>
    <w:p w14:paraId="7A5CF56B" w14:textId="77777777" w:rsidR="004372FE" w:rsidRPr="00AB0A13" w:rsidRDefault="004372FE" w:rsidP="004372FE">
      <w:pPr>
        <w:pStyle w:val="EndNoteBibliography"/>
        <w:spacing w:after="0"/>
        <w:ind w:left="720" w:hanging="720"/>
        <w:rPr>
          <w:rFonts w:ascii="Verdana" w:hAnsi="Verdana"/>
        </w:rPr>
      </w:pPr>
      <w:bookmarkStart w:id="57" w:name="_ENREF_44"/>
      <w:r w:rsidRPr="00AB0A13">
        <w:rPr>
          <w:rFonts w:ascii="Verdana" w:hAnsi="Verdana"/>
        </w:rPr>
        <w:t xml:space="preserve">Mehregan, M. R., Hosseinzadeh, M., &amp; Emadi, M. M. (2019). The mediating role of affect in the relationship between the big five factor personality and risk aversion: A structural model. </w:t>
      </w:r>
      <w:r w:rsidRPr="00AB0A13">
        <w:rPr>
          <w:rFonts w:ascii="Verdana" w:hAnsi="Verdana"/>
          <w:i/>
        </w:rPr>
        <w:t>International journal of applied behavioral sciences, 5</w:t>
      </w:r>
      <w:r w:rsidRPr="00AB0A13">
        <w:rPr>
          <w:rFonts w:ascii="Verdana" w:hAnsi="Verdana"/>
        </w:rPr>
        <w:t xml:space="preserve">(2), 28-36. </w:t>
      </w:r>
      <w:bookmarkEnd w:id="57"/>
    </w:p>
    <w:p w14:paraId="5B083C19" w14:textId="77777777" w:rsidR="004372FE" w:rsidRPr="00AB0A13" w:rsidRDefault="004372FE" w:rsidP="004372FE">
      <w:pPr>
        <w:pStyle w:val="EndNoteBibliography"/>
        <w:spacing w:after="0"/>
        <w:ind w:left="720" w:hanging="720"/>
        <w:rPr>
          <w:rFonts w:ascii="Verdana" w:hAnsi="Verdana"/>
        </w:rPr>
      </w:pPr>
      <w:bookmarkStart w:id="58" w:name="_ENREF_45"/>
      <w:r w:rsidRPr="00AB0A13">
        <w:rPr>
          <w:rFonts w:ascii="Verdana" w:hAnsi="Verdana"/>
        </w:rPr>
        <w:t xml:space="preserve">Mendoza, D. M., Padernal, A. M. G., Pante, E. M. S., Magbata, E. V. S., &amp; Mandigma, M. B. S. (2023). Big Five Personality Traits and Financial Literacy: Effect on Risk Tolerance of Filipino Investors from Higher Education Institutions in Metro Manila. </w:t>
      </w:r>
      <w:r w:rsidRPr="00AB0A13">
        <w:rPr>
          <w:rFonts w:ascii="Verdana" w:hAnsi="Verdana"/>
          <w:i/>
        </w:rPr>
        <w:t>Review of Integrative Business and Economics Research, 12</w:t>
      </w:r>
      <w:r w:rsidRPr="00AB0A13">
        <w:rPr>
          <w:rFonts w:ascii="Verdana" w:hAnsi="Verdana"/>
        </w:rPr>
        <w:t xml:space="preserve">(2), 235-251. </w:t>
      </w:r>
      <w:bookmarkEnd w:id="58"/>
    </w:p>
    <w:p w14:paraId="566C4E53" w14:textId="46786863" w:rsidR="004372FE" w:rsidRPr="00AB0A13" w:rsidRDefault="004372FE" w:rsidP="004372FE">
      <w:pPr>
        <w:pStyle w:val="EndNoteBibliography"/>
        <w:spacing w:after="0"/>
        <w:ind w:left="720" w:hanging="720"/>
        <w:rPr>
          <w:rFonts w:ascii="Verdana" w:hAnsi="Verdana"/>
        </w:rPr>
      </w:pPr>
      <w:bookmarkStart w:id="59" w:name="_ENREF_46"/>
      <w:r w:rsidRPr="00AB0A13">
        <w:rPr>
          <w:rFonts w:ascii="Verdana" w:hAnsi="Verdana"/>
        </w:rPr>
        <w:t xml:space="preserve">Mukhtar, S., &amp; Jan, A. (2023). Individual Investors Financial Risk Tolerance and Personality Traits. A Systematic Review and Future Research Direction. </w:t>
      </w:r>
      <w:r w:rsidRPr="00AB0A13">
        <w:rPr>
          <w:rFonts w:ascii="Verdana" w:hAnsi="Verdana"/>
          <w:i/>
        </w:rPr>
        <w:t>Integrated Journal for Research in Arts and Humanities, 3</w:t>
      </w:r>
      <w:r w:rsidRPr="00AB0A13">
        <w:rPr>
          <w:rFonts w:ascii="Verdana" w:hAnsi="Verdana"/>
        </w:rPr>
        <w:t>(6), 89-104. doi:</w:t>
      </w:r>
      <w:hyperlink r:id="rId42" w:history="1">
        <w:r w:rsidRPr="00AB0A13">
          <w:rPr>
            <w:rStyle w:val="Hyperlink"/>
            <w:rFonts w:ascii="Verdana" w:hAnsi="Verdana"/>
          </w:rPr>
          <w:t>https://doi.org/10.55544/ijrah.3.6.11</w:t>
        </w:r>
        <w:bookmarkEnd w:id="59"/>
      </w:hyperlink>
    </w:p>
    <w:p w14:paraId="79CEC50B" w14:textId="533AF10F" w:rsidR="004372FE" w:rsidRPr="00AB0A13" w:rsidRDefault="004372FE" w:rsidP="004372FE">
      <w:pPr>
        <w:pStyle w:val="EndNoteBibliography"/>
        <w:spacing w:after="0"/>
        <w:ind w:left="720" w:hanging="720"/>
        <w:rPr>
          <w:rFonts w:ascii="Verdana" w:hAnsi="Verdana"/>
        </w:rPr>
      </w:pPr>
      <w:bookmarkStart w:id="60" w:name="_ENREF_47"/>
      <w:r w:rsidRPr="00AB0A13">
        <w:rPr>
          <w:rFonts w:ascii="Verdana" w:hAnsi="Verdana"/>
        </w:rPr>
        <w:t>Norvilitis, J. M., Merwin, M. M., Osberg, T. M., Roehling, P. V., Young, P., &amp; Kamas, M. M. (2006). Personality factors, money attitudes, financial knowledge, and credit</w:t>
      </w:r>
      <w:r w:rsidRPr="00AB0A13">
        <w:rPr>
          <w:rFonts w:ascii="Cambria Math" w:hAnsi="Cambria Math" w:cs="Cambria Math"/>
        </w:rPr>
        <w:t>‐</w:t>
      </w:r>
      <w:r w:rsidRPr="00AB0A13">
        <w:rPr>
          <w:rFonts w:ascii="Verdana" w:hAnsi="Verdana"/>
        </w:rPr>
        <w:t xml:space="preserve">card debt in college students 1. </w:t>
      </w:r>
      <w:r w:rsidRPr="00AB0A13">
        <w:rPr>
          <w:rFonts w:ascii="Verdana" w:hAnsi="Verdana"/>
          <w:i/>
        </w:rPr>
        <w:t>Journal of applied social psychology, 36</w:t>
      </w:r>
      <w:r w:rsidRPr="00AB0A13">
        <w:rPr>
          <w:rFonts w:ascii="Verdana" w:hAnsi="Verdana"/>
        </w:rPr>
        <w:t>(6), 1395-1413. doi:</w:t>
      </w:r>
      <w:hyperlink r:id="rId43" w:history="1">
        <w:r w:rsidRPr="00AB0A13">
          <w:rPr>
            <w:rStyle w:val="Hyperlink"/>
            <w:rFonts w:ascii="Verdana" w:hAnsi="Verdana"/>
          </w:rPr>
          <w:t>https://doi.org/10.1111/j.0021-9029.2006.00065.x</w:t>
        </w:r>
        <w:bookmarkEnd w:id="60"/>
      </w:hyperlink>
    </w:p>
    <w:p w14:paraId="7F6C2065" w14:textId="77777777" w:rsidR="004372FE" w:rsidRPr="00AB0A13" w:rsidRDefault="004372FE" w:rsidP="004372FE">
      <w:pPr>
        <w:pStyle w:val="EndNoteBibliography"/>
        <w:spacing w:after="0"/>
        <w:ind w:left="720" w:hanging="720"/>
        <w:rPr>
          <w:rFonts w:ascii="Verdana" w:hAnsi="Verdana"/>
        </w:rPr>
      </w:pPr>
      <w:bookmarkStart w:id="61" w:name="_ENREF_48"/>
      <w:r w:rsidRPr="00AB0A13">
        <w:rPr>
          <w:rFonts w:ascii="Verdana" w:hAnsi="Verdana"/>
        </w:rPr>
        <w:t xml:space="preserve">Nosita, F., Pirzada, K., Lestari, T., &amp; Cahyono, R. (2020). IMPACT OF DEMOGRAPHIC FACTORS ON RISK TOLERANCE. </w:t>
      </w:r>
      <w:r w:rsidRPr="00AB0A13">
        <w:rPr>
          <w:rFonts w:ascii="Verdana" w:hAnsi="Verdana"/>
          <w:i/>
        </w:rPr>
        <w:t>Journal of Security &amp; Sustainability Issues, 9</w:t>
      </w:r>
      <w:r w:rsidRPr="00AB0A13">
        <w:rPr>
          <w:rFonts w:ascii="Verdana" w:hAnsi="Verdana"/>
        </w:rPr>
        <w:t xml:space="preserve">(4). </w:t>
      </w:r>
      <w:bookmarkEnd w:id="61"/>
    </w:p>
    <w:p w14:paraId="111E52B9" w14:textId="126FBBD3" w:rsidR="004372FE" w:rsidRPr="00AB0A13" w:rsidRDefault="004372FE" w:rsidP="004372FE">
      <w:pPr>
        <w:pStyle w:val="EndNoteBibliography"/>
        <w:spacing w:after="0"/>
        <w:ind w:left="720" w:hanging="720"/>
        <w:rPr>
          <w:rFonts w:ascii="Verdana" w:hAnsi="Verdana"/>
        </w:rPr>
      </w:pPr>
      <w:bookmarkStart w:id="62" w:name="_ENREF_49"/>
      <w:r w:rsidRPr="00AB0A13">
        <w:rPr>
          <w:rFonts w:ascii="Verdana" w:hAnsi="Verdana"/>
        </w:rPr>
        <w:t xml:space="preserve">Oehler, A., Wendt, S., Wedlich, F., &amp; Horn, M. (2018). Investors' personality influences investment decisions: Experimental evidence on extraversion and neuroticism. </w:t>
      </w:r>
      <w:r w:rsidRPr="00AB0A13">
        <w:rPr>
          <w:rFonts w:ascii="Verdana" w:hAnsi="Verdana"/>
          <w:i/>
        </w:rPr>
        <w:t>Journal of Behavioral Finance, 19</w:t>
      </w:r>
      <w:r w:rsidRPr="00AB0A13">
        <w:rPr>
          <w:rFonts w:ascii="Verdana" w:hAnsi="Verdana"/>
        </w:rPr>
        <w:t>(1), 30-48. doi:</w:t>
      </w:r>
      <w:hyperlink r:id="rId44" w:history="1">
        <w:r w:rsidRPr="00AB0A13">
          <w:rPr>
            <w:rStyle w:val="Hyperlink"/>
            <w:rFonts w:ascii="Verdana" w:hAnsi="Verdana"/>
          </w:rPr>
          <w:t>https://doi.org/10.1080/15427560.2017.1366495</w:t>
        </w:r>
        <w:bookmarkEnd w:id="62"/>
      </w:hyperlink>
    </w:p>
    <w:p w14:paraId="514D8D8A" w14:textId="7FA548ED" w:rsidR="004372FE" w:rsidRPr="00AB0A13" w:rsidRDefault="004372FE" w:rsidP="004372FE">
      <w:pPr>
        <w:pStyle w:val="EndNoteBibliography"/>
        <w:spacing w:after="0"/>
        <w:ind w:left="720" w:hanging="720"/>
        <w:rPr>
          <w:rFonts w:ascii="Verdana" w:hAnsi="Verdana"/>
        </w:rPr>
      </w:pPr>
      <w:bookmarkStart w:id="63" w:name="_ENREF_50"/>
      <w:r w:rsidRPr="00AB0A13">
        <w:rPr>
          <w:rFonts w:ascii="Verdana" w:hAnsi="Verdana"/>
        </w:rPr>
        <w:t xml:space="preserve">Owusu, G. M. Y., Korankye, G., Yankah, N. Y. M., &amp; Donkor, J. B. A. (2023). Financial risk tolerance and its determinants: The perspective of personnel from security services in Ghana. </w:t>
      </w:r>
      <w:r w:rsidRPr="00AB0A13">
        <w:rPr>
          <w:rFonts w:ascii="Verdana" w:hAnsi="Verdana"/>
          <w:i/>
        </w:rPr>
        <w:t>Borsa Istanbul Review, 23</w:t>
      </w:r>
      <w:r w:rsidRPr="00AB0A13">
        <w:rPr>
          <w:rFonts w:ascii="Verdana" w:hAnsi="Verdana"/>
        </w:rPr>
        <w:t>(4), 852-864. doi:</w:t>
      </w:r>
      <w:hyperlink r:id="rId45" w:history="1">
        <w:r w:rsidRPr="00AB0A13">
          <w:rPr>
            <w:rStyle w:val="Hyperlink"/>
            <w:rFonts w:ascii="Verdana" w:hAnsi="Verdana"/>
          </w:rPr>
          <w:t>https://doi.org/10.1016/j.bir.2023.02.005</w:t>
        </w:r>
        <w:bookmarkEnd w:id="63"/>
      </w:hyperlink>
    </w:p>
    <w:p w14:paraId="3D19BB72" w14:textId="263A1FBE" w:rsidR="004372FE" w:rsidRPr="00AB0A13" w:rsidRDefault="004372FE" w:rsidP="004372FE">
      <w:pPr>
        <w:pStyle w:val="EndNoteBibliography"/>
        <w:spacing w:after="0"/>
        <w:ind w:left="720" w:hanging="720"/>
        <w:rPr>
          <w:rFonts w:ascii="Verdana" w:hAnsi="Verdana"/>
        </w:rPr>
      </w:pPr>
      <w:bookmarkStart w:id="64" w:name="_ENREF_51"/>
      <w:r w:rsidRPr="00AB0A13">
        <w:rPr>
          <w:rFonts w:ascii="Verdana" w:hAnsi="Verdana"/>
        </w:rPr>
        <w:t xml:space="preserve">Pak, O., &amp; Mahmood, M. (2015). Impact of personality on risk tolerance and investment decisions: A study on potential investors of Kazakhstan. </w:t>
      </w:r>
      <w:r w:rsidRPr="00AB0A13">
        <w:rPr>
          <w:rFonts w:ascii="Verdana" w:hAnsi="Verdana"/>
          <w:i/>
        </w:rPr>
        <w:t>International Journal of Commerce and Management, 25</w:t>
      </w:r>
      <w:r w:rsidRPr="00AB0A13">
        <w:rPr>
          <w:rFonts w:ascii="Verdana" w:hAnsi="Verdana"/>
        </w:rPr>
        <w:t>(4), 370-384. doi:</w:t>
      </w:r>
      <w:hyperlink r:id="rId46" w:history="1">
        <w:r w:rsidRPr="00AB0A13">
          <w:rPr>
            <w:rStyle w:val="Hyperlink"/>
            <w:rFonts w:ascii="Verdana" w:hAnsi="Verdana"/>
          </w:rPr>
          <w:t>https://doi.org/10.1108/IJCoMA-01-2013-0002</w:t>
        </w:r>
        <w:bookmarkEnd w:id="64"/>
      </w:hyperlink>
    </w:p>
    <w:p w14:paraId="5525542E" w14:textId="2BBF7E2B" w:rsidR="004372FE" w:rsidRPr="00AB0A13" w:rsidRDefault="004372FE" w:rsidP="004372FE">
      <w:pPr>
        <w:pStyle w:val="EndNoteBibliography"/>
        <w:spacing w:after="0"/>
        <w:ind w:left="720" w:hanging="720"/>
        <w:rPr>
          <w:rFonts w:ascii="Verdana" w:hAnsi="Verdana"/>
        </w:rPr>
      </w:pPr>
      <w:bookmarkStart w:id="65" w:name="_ENREF_52"/>
      <w:r w:rsidRPr="00AB0A13">
        <w:rPr>
          <w:rFonts w:ascii="Verdana" w:hAnsi="Verdana"/>
        </w:rPr>
        <w:t xml:space="preserve">Powell, M., &amp; Ansic, D. (1997). Gender differences in risk behaviour in financial decision-making: An experimental analysis. </w:t>
      </w:r>
      <w:r w:rsidRPr="00AB0A13">
        <w:rPr>
          <w:rFonts w:ascii="Verdana" w:hAnsi="Verdana"/>
          <w:i/>
        </w:rPr>
        <w:t>Journal of economic psychology, 18</w:t>
      </w:r>
      <w:r w:rsidRPr="00AB0A13">
        <w:rPr>
          <w:rFonts w:ascii="Verdana" w:hAnsi="Verdana"/>
        </w:rPr>
        <w:t>(6), 605-628. doi:</w:t>
      </w:r>
      <w:hyperlink r:id="rId47" w:history="1">
        <w:r w:rsidRPr="00AB0A13">
          <w:rPr>
            <w:rStyle w:val="Hyperlink"/>
            <w:rFonts w:ascii="Verdana" w:hAnsi="Verdana"/>
          </w:rPr>
          <w:t>https://doi.org/10.1016/S0167-4870(97)00026-3</w:t>
        </w:r>
        <w:bookmarkEnd w:id="65"/>
      </w:hyperlink>
    </w:p>
    <w:p w14:paraId="5E856FDD" w14:textId="77777777" w:rsidR="004372FE" w:rsidRPr="00AB0A13" w:rsidRDefault="004372FE" w:rsidP="004372FE">
      <w:pPr>
        <w:pStyle w:val="EndNoteBibliography"/>
        <w:spacing w:after="0"/>
        <w:ind w:left="720" w:hanging="720"/>
        <w:rPr>
          <w:rFonts w:ascii="Verdana" w:hAnsi="Verdana"/>
        </w:rPr>
      </w:pPr>
      <w:bookmarkStart w:id="66" w:name="_ENREF_53"/>
      <w:r w:rsidRPr="00AB0A13">
        <w:rPr>
          <w:rFonts w:ascii="Verdana" w:hAnsi="Verdana"/>
        </w:rPr>
        <w:t xml:space="preserve">Prabhakaran, K., &amp; Karthika, P. (2011). A study on risk perception and portfolio management of equity investors in Coimbatore city. </w:t>
      </w:r>
      <w:r w:rsidRPr="00AB0A13">
        <w:rPr>
          <w:rFonts w:ascii="Verdana" w:hAnsi="Verdana"/>
          <w:i/>
        </w:rPr>
        <w:t>Journal of Management and Science, 1</w:t>
      </w:r>
      <w:r w:rsidRPr="00AB0A13">
        <w:rPr>
          <w:rFonts w:ascii="Verdana" w:hAnsi="Verdana"/>
        </w:rPr>
        <w:t xml:space="preserve">(2), 65-77. </w:t>
      </w:r>
      <w:bookmarkEnd w:id="66"/>
    </w:p>
    <w:p w14:paraId="2DBA2443" w14:textId="7C6CDF22" w:rsidR="004372FE" w:rsidRPr="00AB0A13" w:rsidRDefault="004372FE" w:rsidP="004372FE">
      <w:pPr>
        <w:pStyle w:val="EndNoteBibliography"/>
        <w:spacing w:after="0"/>
        <w:ind w:left="720" w:hanging="720"/>
        <w:rPr>
          <w:rFonts w:ascii="Verdana" w:hAnsi="Verdana"/>
        </w:rPr>
      </w:pPr>
      <w:bookmarkStart w:id="67" w:name="_ENREF_54"/>
      <w:r w:rsidRPr="00AB0A13">
        <w:rPr>
          <w:rFonts w:ascii="Verdana" w:hAnsi="Verdana"/>
        </w:rPr>
        <w:t xml:space="preserve">Rabbani, A. G., Yao, Z., &amp; Wang, C. (2019). Does personality predict financial risk tolerance of pre-retiree baby boomers? </w:t>
      </w:r>
      <w:r w:rsidRPr="00AB0A13">
        <w:rPr>
          <w:rFonts w:ascii="Verdana" w:hAnsi="Verdana"/>
          <w:i/>
        </w:rPr>
        <w:t>Journal of Behavioral and experimental finance, 23</w:t>
      </w:r>
      <w:r w:rsidRPr="00AB0A13">
        <w:rPr>
          <w:rFonts w:ascii="Verdana" w:hAnsi="Verdana"/>
        </w:rPr>
        <w:t>(9), 124-132. doi:</w:t>
      </w:r>
      <w:hyperlink r:id="rId48" w:history="1">
        <w:r w:rsidRPr="00AB0A13">
          <w:rPr>
            <w:rStyle w:val="Hyperlink"/>
            <w:rFonts w:ascii="Verdana" w:hAnsi="Verdana"/>
          </w:rPr>
          <w:t>https://doi.org/10.1016/j.jbef.2019.06.001</w:t>
        </w:r>
        <w:bookmarkEnd w:id="67"/>
      </w:hyperlink>
    </w:p>
    <w:p w14:paraId="07D72FCF" w14:textId="77777777" w:rsidR="004372FE" w:rsidRPr="00AB0A13" w:rsidRDefault="004372FE" w:rsidP="004372FE">
      <w:pPr>
        <w:pStyle w:val="EndNoteBibliography"/>
        <w:spacing w:after="0"/>
        <w:ind w:left="720" w:hanging="720"/>
        <w:rPr>
          <w:rFonts w:ascii="Verdana" w:hAnsi="Verdana"/>
        </w:rPr>
      </w:pPr>
      <w:bookmarkStart w:id="68" w:name="_ENREF_55"/>
      <w:r w:rsidRPr="00AB0A13">
        <w:rPr>
          <w:rFonts w:ascii="Verdana" w:hAnsi="Verdana"/>
        </w:rPr>
        <w:t xml:space="preserve">Raheja, S., &amp; Dhiman, B. (2017). Does Investor Personality Determine their Risk Tolerance. </w:t>
      </w:r>
      <w:r w:rsidRPr="00AB0A13">
        <w:rPr>
          <w:rFonts w:ascii="Verdana" w:hAnsi="Verdana"/>
          <w:i/>
        </w:rPr>
        <w:t>International Journal of Engineering Technology, Management and Applied Sciences, 5</w:t>
      </w:r>
      <w:r w:rsidRPr="00AB0A13">
        <w:rPr>
          <w:rFonts w:ascii="Verdana" w:hAnsi="Verdana"/>
        </w:rPr>
        <w:t xml:space="preserve">(7), 439-448. </w:t>
      </w:r>
      <w:bookmarkEnd w:id="68"/>
    </w:p>
    <w:p w14:paraId="176D2D32" w14:textId="77777777" w:rsidR="004372FE" w:rsidRPr="00AB0A13" w:rsidRDefault="004372FE" w:rsidP="004372FE">
      <w:pPr>
        <w:pStyle w:val="EndNoteBibliography"/>
        <w:spacing w:after="0"/>
        <w:ind w:left="720" w:hanging="720"/>
        <w:rPr>
          <w:rFonts w:ascii="Verdana" w:hAnsi="Verdana"/>
        </w:rPr>
      </w:pPr>
      <w:bookmarkStart w:id="69" w:name="_ENREF_56"/>
      <w:r w:rsidRPr="00AB0A13">
        <w:rPr>
          <w:rFonts w:ascii="Verdana" w:hAnsi="Verdana"/>
        </w:rPr>
        <w:t xml:space="preserve">Raveendranath, R., Reddy, R., &amp; Ahammad, D. (2019). A study on the influence of demographic factors on the risk tolerance level of investors in Kurnool City. </w:t>
      </w:r>
      <w:r w:rsidRPr="00AB0A13">
        <w:rPr>
          <w:rFonts w:ascii="Verdana" w:hAnsi="Verdana"/>
          <w:i/>
        </w:rPr>
        <w:t>Journal for Studies in Management and Planning, 5</w:t>
      </w:r>
      <w:r w:rsidRPr="00AB0A13">
        <w:rPr>
          <w:rFonts w:ascii="Verdana" w:hAnsi="Verdana"/>
        </w:rPr>
        <w:t xml:space="preserve">(2), 1-15. </w:t>
      </w:r>
      <w:bookmarkEnd w:id="69"/>
    </w:p>
    <w:p w14:paraId="32FF4D07" w14:textId="77777777" w:rsidR="004372FE" w:rsidRPr="00AB0A13" w:rsidRDefault="004372FE" w:rsidP="004372FE">
      <w:pPr>
        <w:pStyle w:val="EndNoteBibliography"/>
        <w:spacing w:after="0"/>
        <w:ind w:left="720" w:hanging="720"/>
        <w:rPr>
          <w:rFonts w:ascii="Verdana" w:hAnsi="Verdana"/>
        </w:rPr>
      </w:pPr>
      <w:bookmarkStart w:id="70" w:name="_ENREF_57"/>
      <w:r w:rsidRPr="00AB0A13">
        <w:rPr>
          <w:rFonts w:ascii="Verdana" w:hAnsi="Verdana"/>
        </w:rPr>
        <w:t xml:space="preserve">Rizwanulhassan, M., Mehboob, A., Hussain, M., &amp; Ali, S. (2021). EFFECTS OF DEMOGRAPHIC FACTORS AND PERSONALITY TRAITS ON FINANCIAL RISK TOLERANCE: A CASE STUDY OF PAKISTAN. </w:t>
      </w:r>
      <w:r w:rsidRPr="00AB0A13">
        <w:rPr>
          <w:rFonts w:ascii="Verdana" w:hAnsi="Verdana"/>
          <w:i/>
        </w:rPr>
        <w:t>International Journal of Management (IJM), 12</w:t>
      </w:r>
      <w:r w:rsidRPr="00AB0A13">
        <w:rPr>
          <w:rFonts w:ascii="Verdana" w:hAnsi="Verdana"/>
        </w:rPr>
        <w:t xml:space="preserve">(2). </w:t>
      </w:r>
      <w:bookmarkEnd w:id="70"/>
    </w:p>
    <w:p w14:paraId="340CECA3" w14:textId="4D14D934" w:rsidR="004372FE" w:rsidRPr="00AB0A13" w:rsidRDefault="004372FE" w:rsidP="004372FE">
      <w:pPr>
        <w:pStyle w:val="EndNoteBibliography"/>
        <w:spacing w:after="0"/>
        <w:ind w:left="720" w:hanging="720"/>
        <w:rPr>
          <w:rFonts w:ascii="Verdana" w:hAnsi="Verdana"/>
        </w:rPr>
      </w:pPr>
      <w:bookmarkStart w:id="71" w:name="_ENREF_58"/>
      <w:r w:rsidRPr="00AB0A13">
        <w:rPr>
          <w:rFonts w:ascii="Verdana" w:hAnsi="Verdana"/>
        </w:rPr>
        <w:t xml:space="preserve">Roberts, B. W., Kuncel, N. R., Shiner, R., Caspi, A., &amp; Goldberg, L. R. (2007). The power of personality: The comparative validity of personality traits, socioeconomic status, and cognitive ability for predicting important life outcomes. </w:t>
      </w:r>
      <w:r w:rsidRPr="00AB0A13">
        <w:rPr>
          <w:rFonts w:ascii="Verdana" w:hAnsi="Verdana"/>
          <w:i/>
        </w:rPr>
        <w:t>Perspectives on Psychological science, 2</w:t>
      </w:r>
      <w:r w:rsidRPr="00AB0A13">
        <w:rPr>
          <w:rFonts w:ascii="Verdana" w:hAnsi="Verdana"/>
        </w:rPr>
        <w:t>(4), 313-345. doi:</w:t>
      </w:r>
      <w:hyperlink r:id="rId49" w:history="1">
        <w:r w:rsidRPr="00AB0A13">
          <w:rPr>
            <w:rStyle w:val="Hyperlink"/>
            <w:rFonts w:ascii="Verdana" w:hAnsi="Verdana"/>
          </w:rPr>
          <w:t>https://doi.org/10.1111/j.1745-6916.2007.00047.x</w:t>
        </w:r>
        <w:bookmarkEnd w:id="71"/>
      </w:hyperlink>
    </w:p>
    <w:p w14:paraId="7A046C16" w14:textId="7F9C650B" w:rsidR="004372FE" w:rsidRPr="00AB0A13" w:rsidRDefault="004372FE" w:rsidP="004372FE">
      <w:pPr>
        <w:pStyle w:val="EndNoteBibliography"/>
        <w:spacing w:after="0"/>
        <w:ind w:left="720" w:hanging="720"/>
        <w:rPr>
          <w:rFonts w:ascii="Verdana" w:hAnsi="Verdana"/>
        </w:rPr>
      </w:pPr>
      <w:bookmarkStart w:id="72" w:name="_ENREF_59"/>
      <w:r w:rsidRPr="00AB0A13">
        <w:rPr>
          <w:rFonts w:ascii="Verdana" w:hAnsi="Verdana"/>
        </w:rPr>
        <w:t xml:space="preserve">Rustichini, A., DeYoung, C. G., Anderson, J. E., &amp; Burks, S. V. (2016). Toward the integration of personality theory and decision theory in explaining economic behavior: An </w:t>
      </w:r>
      <w:r w:rsidRPr="00AB0A13">
        <w:rPr>
          <w:rFonts w:ascii="Verdana" w:hAnsi="Verdana"/>
        </w:rPr>
        <w:lastRenderedPageBreak/>
        <w:t xml:space="preserve">experimental investigation. </w:t>
      </w:r>
      <w:r w:rsidRPr="00AB0A13">
        <w:rPr>
          <w:rFonts w:ascii="Verdana" w:hAnsi="Verdana"/>
          <w:i/>
        </w:rPr>
        <w:t>Journal of Behavioral and Experimental Economics, 64</w:t>
      </w:r>
      <w:r w:rsidRPr="00AB0A13">
        <w:rPr>
          <w:rFonts w:ascii="Verdana" w:hAnsi="Verdana"/>
        </w:rPr>
        <w:t>(10), 122-137. doi:</w:t>
      </w:r>
      <w:hyperlink r:id="rId50" w:history="1">
        <w:r w:rsidRPr="00AB0A13">
          <w:rPr>
            <w:rStyle w:val="Hyperlink"/>
            <w:rFonts w:ascii="Verdana" w:hAnsi="Verdana"/>
          </w:rPr>
          <w:t>https://doi.org/10.1016/j.socec.2016.04.019</w:t>
        </w:r>
        <w:bookmarkEnd w:id="72"/>
      </w:hyperlink>
    </w:p>
    <w:p w14:paraId="6319682C" w14:textId="48D9C362" w:rsidR="004372FE" w:rsidRPr="00AB0A13" w:rsidRDefault="004372FE" w:rsidP="004372FE">
      <w:pPr>
        <w:pStyle w:val="EndNoteBibliography"/>
        <w:spacing w:after="0"/>
        <w:ind w:left="720" w:hanging="720"/>
        <w:rPr>
          <w:rFonts w:ascii="Verdana" w:hAnsi="Verdana"/>
        </w:rPr>
      </w:pPr>
      <w:bookmarkStart w:id="73" w:name="_ENREF_60"/>
      <w:r w:rsidRPr="00AB0A13">
        <w:rPr>
          <w:rFonts w:ascii="Verdana" w:hAnsi="Verdana"/>
        </w:rPr>
        <w:t xml:space="preserve">Sadi, R., Asl, H. G., Rostami, M. R., Gholipour, A., &amp; Gholipour, F. (2011). Behavioral finance: The explanation of investors’ personality and perceptual biases effects on financial decisions. </w:t>
      </w:r>
      <w:r w:rsidRPr="00AB0A13">
        <w:rPr>
          <w:rFonts w:ascii="Verdana" w:hAnsi="Verdana"/>
          <w:i/>
        </w:rPr>
        <w:t>International journal of economics and finance, 3</w:t>
      </w:r>
      <w:r w:rsidRPr="00AB0A13">
        <w:rPr>
          <w:rFonts w:ascii="Verdana" w:hAnsi="Verdana"/>
        </w:rPr>
        <w:t>(5), 234-241. doi:</w:t>
      </w:r>
      <w:hyperlink r:id="rId51" w:history="1">
        <w:r w:rsidRPr="00AB0A13">
          <w:rPr>
            <w:rStyle w:val="Hyperlink"/>
            <w:rFonts w:ascii="Verdana" w:hAnsi="Verdana"/>
          </w:rPr>
          <w:t>https://doi.org/:10.5539/ijef.v3n5p234</w:t>
        </w:r>
        <w:bookmarkEnd w:id="73"/>
      </w:hyperlink>
    </w:p>
    <w:p w14:paraId="5103E151" w14:textId="6164B990" w:rsidR="004372FE" w:rsidRPr="00AB0A13" w:rsidRDefault="004372FE" w:rsidP="004372FE">
      <w:pPr>
        <w:pStyle w:val="EndNoteBibliography"/>
        <w:spacing w:after="0"/>
        <w:ind w:left="720" w:hanging="720"/>
        <w:rPr>
          <w:rFonts w:ascii="Verdana" w:hAnsi="Verdana"/>
        </w:rPr>
      </w:pPr>
      <w:bookmarkStart w:id="74" w:name="_ENREF_61"/>
      <w:r w:rsidRPr="00AB0A13">
        <w:rPr>
          <w:rFonts w:ascii="Verdana" w:hAnsi="Verdana"/>
        </w:rPr>
        <w:t xml:space="preserve">Sadiq, M. N., &amp; Akhtar, M. (2019). The Relationship of Investor’s Demographic Traits and Personality Type with Financial Risk Tolerance in Investment Decisions. </w:t>
      </w:r>
      <w:r w:rsidRPr="00AB0A13">
        <w:rPr>
          <w:rFonts w:ascii="Verdana" w:hAnsi="Verdana"/>
          <w:i/>
        </w:rPr>
        <w:t>Sukkur IBA Journal of Management and Business, 6</w:t>
      </w:r>
      <w:r w:rsidRPr="00AB0A13">
        <w:rPr>
          <w:rFonts w:ascii="Verdana" w:hAnsi="Verdana"/>
        </w:rPr>
        <w:t xml:space="preserve">(1), 87-107. doi: </w:t>
      </w:r>
      <w:hyperlink r:id="rId52" w:history="1">
        <w:r w:rsidRPr="00AB0A13">
          <w:rPr>
            <w:rStyle w:val="Hyperlink"/>
            <w:rFonts w:ascii="Verdana" w:hAnsi="Verdana"/>
          </w:rPr>
          <w:t>https://doi.org/10.30537/sijmb.v6i1.449</w:t>
        </w:r>
        <w:bookmarkEnd w:id="74"/>
      </w:hyperlink>
    </w:p>
    <w:p w14:paraId="2BA21C26" w14:textId="75AD429E" w:rsidR="004372FE" w:rsidRPr="00AB0A13" w:rsidRDefault="004372FE" w:rsidP="004372FE">
      <w:pPr>
        <w:pStyle w:val="EndNoteBibliography"/>
        <w:spacing w:after="0"/>
        <w:ind w:left="720" w:hanging="720"/>
        <w:rPr>
          <w:rFonts w:ascii="Verdana" w:hAnsi="Verdana"/>
        </w:rPr>
      </w:pPr>
      <w:bookmarkStart w:id="75" w:name="_ENREF_62"/>
      <w:r w:rsidRPr="00AB0A13">
        <w:rPr>
          <w:rFonts w:ascii="Verdana" w:hAnsi="Verdana"/>
        </w:rPr>
        <w:t xml:space="preserve">Shah, N. H., Khalid, W., Khan, S., Arif, M., &amp; Khan, M. A. (2020). An empirical analysis of financial risk tolerance and demographic factors of business graduates in Pakistan. </w:t>
      </w:r>
      <w:r w:rsidRPr="00AB0A13">
        <w:rPr>
          <w:rFonts w:ascii="Verdana" w:hAnsi="Verdana"/>
          <w:i/>
        </w:rPr>
        <w:t>International Journal of Economics and Financial Issues, 10</w:t>
      </w:r>
      <w:r w:rsidRPr="00AB0A13">
        <w:rPr>
          <w:rFonts w:ascii="Verdana" w:hAnsi="Verdana"/>
        </w:rPr>
        <w:t>(4), 220-234. doi:</w:t>
      </w:r>
      <w:hyperlink r:id="rId53" w:history="1">
        <w:r w:rsidRPr="00AB0A13">
          <w:rPr>
            <w:rStyle w:val="Hyperlink"/>
            <w:rFonts w:ascii="Verdana" w:hAnsi="Verdana"/>
          </w:rPr>
          <w:t>https://doi.org/10.32479/ijefi.9365</w:t>
        </w:r>
        <w:bookmarkEnd w:id="75"/>
      </w:hyperlink>
    </w:p>
    <w:p w14:paraId="37D7E50A" w14:textId="12297AA3" w:rsidR="004372FE" w:rsidRPr="00AB0A13" w:rsidRDefault="004372FE" w:rsidP="004372FE">
      <w:pPr>
        <w:pStyle w:val="EndNoteBibliography"/>
        <w:spacing w:after="0"/>
        <w:ind w:left="720" w:hanging="720"/>
        <w:rPr>
          <w:rFonts w:ascii="Verdana" w:hAnsi="Verdana"/>
        </w:rPr>
      </w:pPr>
      <w:bookmarkStart w:id="76" w:name="_ENREF_63"/>
      <w:r w:rsidRPr="00AB0A13">
        <w:rPr>
          <w:rFonts w:ascii="Verdana" w:hAnsi="Verdana"/>
        </w:rPr>
        <w:t xml:space="preserve">Shusha, A. A. (2017). Does financial literacy moderate the relationship among demographic characteristics and financial risk tolerance? Evidence from Egypt. </w:t>
      </w:r>
      <w:r w:rsidRPr="00AB0A13">
        <w:rPr>
          <w:rFonts w:ascii="Verdana" w:hAnsi="Verdana"/>
          <w:i/>
        </w:rPr>
        <w:t>Australasian Accounting, Business and Finance Journal, 11</w:t>
      </w:r>
      <w:r w:rsidRPr="00AB0A13">
        <w:rPr>
          <w:rFonts w:ascii="Verdana" w:hAnsi="Verdana"/>
        </w:rPr>
        <w:t>(3), 67-86. doi:</w:t>
      </w:r>
      <w:hyperlink r:id="rId54" w:history="1">
        <w:r w:rsidRPr="00AB0A13">
          <w:rPr>
            <w:rStyle w:val="Hyperlink"/>
            <w:rFonts w:ascii="Verdana" w:hAnsi="Verdana"/>
          </w:rPr>
          <w:t>https://doi.org/10.14453/aabfj.v11i3.6</w:t>
        </w:r>
        <w:bookmarkEnd w:id="76"/>
      </w:hyperlink>
    </w:p>
    <w:p w14:paraId="143BBA5A" w14:textId="7E7DD792" w:rsidR="004372FE" w:rsidRPr="00AB0A13" w:rsidRDefault="004372FE" w:rsidP="004372FE">
      <w:pPr>
        <w:pStyle w:val="EndNoteBibliography"/>
        <w:spacing w:after="0"/>
        <w:ind w:left="720" w:hanging="720"/>
        <w:rPr>
          <w:rFonts w:ascii="Verdana" w:hAnsi="Verdana"/>
        </w:rPr>
      </w:pPr>
      <w:bookmarkStart w:id="77" w:name="_ENREF_64"/>
      <w:r w:rsidRPr="00AB0A13">
        <w:rPr>
          <w:rFonts w:ascii="Verdana" w:hAnsi="Verdana"/>
        </w:rPr>
        <w:t xml:space="preserve">Sulaiman, E. K. (2012). An empirical analysis of financial risk tolerance and demographic features of individual investors. </w:t>
      </w:r>
      <w:r w:rsidRPr="00AB0A13">
        <w:rPr>
          <w:rFonts w:ascii="Verdana" w:hAnsi="Verdana"/>
          <w:i/>
        </w:rPr>
        <w:t>Procedia Economics and Finance, 2</w:t>
      </w:r>
      <w:r w:rsidRPr="00AB0A13">
        <w:rPr>
          <w:rFonts w:ascii="Verdana" w:hAnsi="Verdana"/>
        </w:rPr>
        <w:t>, 109-115. doi:</w:t>
      </w:r>
      <w:hyperlink r:id="rId55" w:history="1">
        <w:r w:rsidRPr="00AB0A13">
          <w:rPr>
            <w:rStyle w:val="Hyperlink"/>
            <w:rFonts w:ascii="Verdana" w:hAnsi="Verdana"/>
          </w:rPr>
          <w:t>https://doi.org/10.1016/S2212-5671(12)00070-6</w:t>
        </w:r>
        <w:bookmarkEnd w:id="77"/>
      </w:hyperlink>
    </w:p>
    <w:p w14:paraId="45C8AD27" w14:textId="7903BAC9" w:rsidR="004372FE" w:rsidRPr="00AB0A13" w:rsidRDefault="004372FE" w:rsidP="004372FE">
      <w:pPr>
        <w:pStyle w:val="EndNoteBibliography"/>
        <w:spacing w:after="0"/>
        <w:ind w:left="720" w:hanging="720"/>
        <w:rPr>
          <w:rFonts w:ascii="Verdana" w:hAnsi="Verdana"/>
        </w:rPr>
      </w:pPr>
      <w:bookmarkStart w:id="78" w:name="_ENREF_65"/>
      <w:r w:rsidRPr="00AB0A13">
        <w:rPr>
          <w:rFonts w:ascii="Verdana" w:hAnsi="Verdana"/>
        </w:rPr>
        <w:t>Tett, R. R., Jackson, D. N., Rothstein, M., &amp; Reddon, J. R. (1994). Meta</w:t>
      </w:r>
      <w:r w:rsidRPr="00AB0A13">
        <w:rPr>
          <w:rFonts w:ascii="Cambria Math" w:hAnsi="Cambria Math" w:cs="Cambria Math"/>
        </w:rPr>
        <w:t>‐</w:t>
      </w:r>
      <w:r w:rsidRPr="00AB0A13">
        <w:rPr>
          <w:rFonts w:ascii="Verdana" w:hAnsi="Verdana"/>
        </w:rPr>
        <w:t>analysis of personality</w:t>
      </w:r>
      <w:r w:rsidRPr="00AB0A13">
        <w:rPr>
          <w:rFonts w:ascii="Cambria Math" w:hAnsi="Cambria Math" w:cs="Cambria Math"/>
        </w:rPr>
        <w:t>‐</w:t>
      </w:r>
      <w:r w:rsidRPr="00AB0A13">
        <w:rPr>
          <w:rFonts w:ascii="Verdana" w:hAnsi="Verdana"/>
        </w:rPr>
        <w:t xml:space="preserve">job performance relations: A reply to Ones, Mount, Barrick, and Hunter (1994). </w:t>
      </w:r>
      <w:r w:rsidRPr="00AB0A13">
        <w:rPr>
          <w:rFonts w:ascii="Verdana" w:hAnsi="Verdana"/>
          <w:i/>
        </w:rPr>
        <w:t>Personnel Psychology, 47</w:t>
      </w:r>
      <w:r w:rsidRPr="00AB0A13">
        <w:rPr>
          <w:rFonts w:ascii="Verdana" w:hAnsi="Verdana"/>
        </w:rPr>
        <w:t>(1), 157-172. doi:</w:t>
      </w:r>
      <w:hyperlink r:id="rId56" w:history="1">
        <w:r w:rsidRPr="00AB0A13">
          <w:rPr>
            <w:rStyle w:val="Hyperlink"/>
            <w:rFonts w:ascii="Verdana" w:hAnsi="Verdana"/>
          </w:rPr>
          <w:t>https://doi.org/10.1111/j.1744-6570.1994.tb02415.x</w:t>
        </w:r>
        <w:bookmarkEnd w:id="78"/>
      </w:hyperlink>
    </w:p>
    <w:p w14:paraId="114AC512" w14:textId="64F19131" w:rsidR="004372FE" w:rsidRPr="00AB0A13" w:rsidRDefault="004372FE" w:rsidP="004372FE">
      <w:pPr>
        <w:pStyle w:val="EndNoteBibliography"/>
        <w:spacing w:after="0"/>
        <w:ind w:left="720" w:hanging="720"/>
        <w:rPr>
          <w:rFonts w:ascii="Verdana" w:hAnsi="Verdana"/>
        </w:rPr>
      </w:pPr>
      <w:bookmarkStart w:id="79" w:name="_ENREF_66"/>
      <w:r w:rsidRPr="00AB0A13">
        <w:rPr>
          <w:rFonts w:ascii="Verdana" w:hAnsi="Verdana"/>
        </w:rPr>
        <w:t xml:space="preserve">Wang, H., &amp; Hanna, S. D. (1997). Does risk tolerance decrease with age? </w:t>
      </w:r>
      <w:r w:rsidRPr="00AB0A13">
        <w:rPr>
          <w:rFonts w:ascii="Verdana" w:hAnsi="Verdana"/>
          <w:i/>
        </w:rPr>
        <w:t>Financial Counseling and Planning, 8</w:t>
      </w:r>
      <w:r w:rsidRPr="00AB0A13">
        <w:rPr>
          <w:rFonts w:ascii="Verdana" w:hAnsi="Verdana"/>
        </w:rPr>
        <w:t>(2). doi:</w:t>
      </w:r>
      <w:hyperlink r:id="rId57" w:history="1">
        <w:r w:rsidRPr="00AB0A13">
          <w:rPr>
            <w:rStyle w:val="Hyperlink"/>
            <w:rFonts w:ascii="Verdana" w:hAnsi="Verdana"/>
          </w:rPr>
          <w:t>https://doi.org/10.2139/ssrn.95489</w:t>
        </w:r>
        <w:bookmarkEnd w:id="79"/>
      </w:hyperlink>
    </w:p>
    <w:p w14:paraId="7A0090DB" w14:textId="77777777" w:rsidR="004372FE" w:rsidRPr="00AB0A13" w:rsidRDefault="004372FE" w:rsidP="004372FE">
      <w:pPr>
        <w:pStyle w:val="EndNoteBibliography"/>
        <w:ind w:left="720" w:hanging="720"/>
        <w:rPr>
          <w:rFonts w:ascii="Verdana" w:hAnsi="Verdana"/>
        </w:rPr>
      </w:pPr>
      <w:bookmarkStart w:id="80" w:name="_ENREF_67"/>
      <w:r w:rsidRPr="00AB0A13">
        <w:rPr>
          <w:rFonts w:ascii="Verdana" w:hAnsi="Verdana"/>
        </w:rPr>
        <w:t xml:space="preserve">Yao, R., &amp; Hanna, S. D. (2005). The effect of gender and marital status on financial risk tolerance. </w:t>
      </w:r>
      <w:bookmarkEnd w:id="80"/>
    </w:p>
    <w:p w14:paraId="1F8CEE6B" w14:textId="64DD196C" w:rsidR="007E1F8A" w:rsidRPr="00AB0A13" w:rsidRDefault="00492614" w:rsidP="00A60A82">
      <w:pPr>
        <w:rPr>
          <w:rFonts w:ascii="Verdana" w:hAnsi="Verdana"/>
          <w:b/>
          <w:sz w:val="20"/>
          <w:szCs w:val="20"/>
        </w:rPr>
      </w:pPr>
      <w:r w:rsidRPr="00AB0A13">
        <w:rPr>
          <w:rFonts w:ascii="Verdana" w:hAnsi="Verdana"/>
          <w:b/>
          <w:sz w:val="20"/>
          <w:szCs w:val="20"/>
        </w:rPr>
        <w:fldChar w:fldCharType="end"/>
      </w:r>
    </w:p>
    <w:sectPr w:rsidR="007E1F8A" w:rsidRPr="00AB0A13" w:rsidSect="004372FE">
      <w:headerReference w:type="even" r:id="rId58"/>
      <w:headerReference w:type="default" r:id="rId59"/>
      <w:footerReference w:type="even" r:id="rId60"/>
      <w:footerReference w:type="default" r:id="rId61"/>
      <w:headerReference w:type="first" r:id="rId62"/>
      <w:footerReference w:type="first" r:id="rId63"/>
      <w:pgSz w:w="12240" w:h="15840"/>
      <w:pgMar w:top="851" w:right="1140" w:bottom="561" w:left="1440" w:header="720" w:footer="283" w:gutter="0"/>
      <w:pgNumType w:start="79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DFB6C" w14:textId="77777777" w:rsidR="008C35E2" w:rsidRDefault="008C35E2" w:rsidP="00297167">
      <w:r>
        <w:separator/>
      </w:r>
    </w:p>
  </w:endnote>
  <w:endnote w:type="continuationSeparator" w:id="0">
    <w:p w14:paraId="229346EB" w14:textId="77777777" w:rsidR="008C35E2" w:rsidRDefault="008C35E2" w:rsidP="0029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RWPalladioL-Ital">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Garamond">
    <w:panose1 w:val="02020404030301010803"/>
    <w:charset w:val="00"/>
    <w:family w:val="roman"/>
    <w:pitch w:val="variable"/>
    <w:sig w:usb0="00000287" w:usb1="00000000" w:usb2="00000000" w:usb3="00000000" w:csb0="0000009F" w:csb1="00000000"/>
  </w:font>
  <w:font w:name="DejaVuSerif-Bold">
    <w:altName w:val="MS Mincho"/>
    <w:panose1 w:val="00000000000000000000"/>
    <w:charset w:val="80"/>
    <w:family w:val="auto"/>
    <w:notTrueType/>
    <w:pitch w:val="default"/>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inionPro-It">
    <w:altName w:val="Times New Roman"/>
    <w:panose1 w:val="00000000000000000000"/>
    <w:charset w:val="00"/>
    <w:family w:val="roman"/>
    <w:notTrueType/>
    <w:pitch w:val="default"/>
  </w:font>
  <w:font w:name="SFTI1200">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Consolas">
    <w:panose1 w:val="020B0609020204030204"/>
    <w:charset w:val="00"/>
    <w:family w:val="modern"/>
    <w:pitch w:val="fixed"/>
    <w:sig w:usb0="E00006FF" w:usb1="0000FCFF" w:usb2="00000001" w:usb3="00000000" w:csb0="0000019F" w:csb1="00000000"/>
  </w:font>
  <w:font w:name="Roboto Light">
    <w:charset w:val="00"/>
    <w:family w:val="auto"/>
    <w:pitch w:val="variable"/>
    <w:sig w:usb0="E0000AFF" w:usb1="5000217F" w:usb2="00000021" w:usb3="00000000" w:csb0="0000019F" w:csb1="00000000"/>
  </w:font>
  <w:font w:name="Noto Sans">
    <w:charset w:val="00"/>
    <w:family w:val="swiss"/>
    <w:pitch w:val="variable"/>
    <w:sig w:usb0="E00082FF" w:usb1="400078FF" w:usb2="00000021" w:usb3="00000000" w:csb0="0000019F" w:csb1="00000000"/>
  </w:font>
  <w:font w:name="AdvOT46dcae81+fb">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utiger LT Pro 57 Condensed">
    <w:altName w:val="Frutiger LT Pro 57 Condensed"/>
    <w:panose1 w:val="00000000000000000000"/>
    <w:charset w:val="00"/>
    <w:family w:val="swiss"/>
    <w:notTrueType/>
    <w:pitch w:val="default"/>
    <w:sig w:usb0="00000003" w:usb1="00000000" w:usb2="00000000" w:usb3="00000000" w:csb0="00000001" w:csb1="00000000"/>
  </w:font>
  <w:font w:name="Archer Light">
    <w:altName w:val="Archer Light"/>
    <w:panose1 w:val="00000000000000000000"/>
    <w:charset w:val="00"/>
    <w:family w:val="roman"/>
    <w:notTrueType/>
    <w:pitch w:val="default"/>
    <w:sig w:usb0="00000003" w:usb1="00000000" w:usb2="00000000" w:usb3="00000000" w:csb0="00000001" w:csb1="00000000"/>
  </w:font>
  <w:font w:name="Archer Bold">
    <w:altName w:val="Archer Bold"/>
    <w:panose1 w:val="00000000000000000000"/>
    <w:charset w:val="00"/>
    <w:family w:val="roman"/>
    <w:notTrueType/>
    <w:pitch w:val="default"/>
    <w:sig w:usb0="00000003" w:usb1="00000000" w:usb2="00000000" w:usb3="00000000" w:csb0="00000001" w:csb1="00000000"/>
  </w:font>
  <w:font w:name="HelveticaNeueLT Std Med">
    <w:altName w:val="Arial"/>
    <w:panose1 w:val="00000000000000000000"/>
    <w:charset w:val="00"/>
    <w:family w:val="swiss"/>
    <w:notTrueType/>
    <w:pitch w:val="default"/>
    <w:sig w:usb0="00000003" w:usb1="00000000" w:usb2="00000000" w:usb3="00000000" w:csb0="00000001" w:csb1="00000000"/>
  </w:font>
  <w:font w:name="Open Sans">
    <w:panose1 w:val="00000000000000000000"/>
    <w:charset w:val="00"/>
    <w:family w:val="auto"/>
    <w:pitch w:val="variable"/>
    <w:sig w:usb0="E00002FF" w:usb1="4000201B" w:usb2="00000028" w:usb3="00000000" w:csb0="0000019F" w:csb1="00000000"/>
  </w:font>
  <w:font w:name="Bliss Pro Regular">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52717"/>
      <w:docPartObj>
        <w:docPartGallery w:val="Page Numbers (Bottom of Page)"/>
        <w:docPartUnique/>
      </w:docPartObj>
    </w:sdtPr>
    <w:sdtEndPr>
      <w:rPr>
        <w:noProof/>
      </w:rPr>
    </w:sdtEndPr>
    <w:sdtContent>
      <w:p w14:paraId="6E8BF857" w14:textId="77777777" w:rsidR="00CE7968" w:rsidRDefault="00CE7968" w:rsidP="0038773A">
        <w:pPr>
          <w:pStyle w:val="Footer"/>
        </w:pPr>
      </w:p>
      <w:p w14:paraId="1CE7B17E" w14:textId="77A82D28" w:rsidR="00CE7968" w:rsidRDefault="00CE7968" w:rsidP="0038773A">
        <w:pPr>
          <w:pStyle w:val="Footer"/>
          <w:rPr>
            <w:noProof/>
          </w:rPr>
        </w:pPr>
        <w:r>
          <w:fldChar w:fldCharType="begin"/>
        </w:r>
        <w:r>
          <w:instrText xml:space="preserve"> PAGE   \* MERGEFORMAT </w:instrText>
        </w:r>
        <w:r>
          <w:fldChar w:fldCharType="separate"/>
        </w:r>
        <w:r w:rsidR="00A60A82">
          <w:rPr>
            <w:noProof/>
          </w:rPr>
          <w:t>792</w:t>
        </w:r>
        <w:r>
          <w:rPr>
            <w:noProof/>
          </w:rPr>
          <w:fldChar w:fldCharType="end"/>
        </w:r>
      </w:p>
      <w:p w14:paraId="6AF1659C" w14:textId="68B9FBAA" w:rsidR="00CE7968" w:rsidRDefault="00000000" w:rsidP="004570CA">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145142"/>
      <w:docPartObj>
        <w:docPartGallery w:val="Page Numbers (Bottom of Page)"/>
        <w:docPartUnique/>
      </w:docPartObj>
    </w:sdtPr>
    <w:sdtEndPr>
      <w:rPr>
        <w:noProof/>
      </w:rPr>
    </w:sdtEndPr>
    <w:sdtContent>
      <w:p w14:paraId="6F6E9497" w14:textId="77777777" w:rsidR="00CE7968" w:rsidRDefault="00CE7968">
        <w:pPr>
          <w:pStyle w:val="Footer"/>
          <w:jc w:val="right"/>
        </w:pPr>
      </w:p>
      <w:p w14:paraId="4662FD6B" w14:textId="076F57A2" w:rsidR="00CE7968" w:rsidRDefault="00CE7968">
        <w:pPr>
          <w:pStyle w:val="Footer"/>
          <w:jc w:val="right"/>
          <w:rPr>
            <w:noProof/>
          </w:rPr>
        </w:pPr>
        <w:r>
          <w:fldChar w:fldCharType="begin"/>
        </w:r>
        <w:r>
          <w:instrText xml:space="preserve"> PAGE   \* MERGEFORMAT </w:instrText>
        </w:r>
        <w:r>
          <w:fldChar w:fldCharType="separate"/>
        </w:r>
        <w:r w:rsidR="00A60A82">
          <w:rPr>
            <w:noProof/>
          </w:rPr>
          <w:t>793</w:t>
        </w:r>
        <w:r>
          <w:rPr>
            <w:noProof/>
          </w:rPr>
          <w:fldChar w:fldCharType="end"/>
        </w:r>
      </w:p>
      <w:p w14:paraId="1830FDBE" w14:textId="3F6D5E58" w:rsidR="00CE7968" w:rsidRDefault="00000000" w:rsidP="0000186A">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6906879"/>
      <w:docPartObj>
        <w:docPartGallery w:val="Page Numbers (Bottom of Page)"/>
        <w:docPartUnique/>
      </w:docPartObj>
    </w:sdtPr>
    <w:sdtEndPr>
      <w:rPr>
        <w:noProof/>
      </w:rPr>
    </w:sdtEndPr>
    <w:sdtContent>
      <w:p w14:paraId="058B2D00" w14:textId="77777777" w:rsidR="00CE7968" w:rsidRDefault="00CE7968">
        <w:pPr>
          <w:pStyle w:val="Footer"/>
          <w:jc w:val="center"/>
        </w:pPr>
      </w:p>
      <w:p w14:paraId="69C612B5" w14:textId="71C345A7" w:rsidR="00CE7968" w:rsidRDefault="00CE7968">
        <w:pPr>
          <w:pStyle w:val="Footer"/>
          <w:jc w:val="center"/>
        </w:pPr>
        <w:r>
          <w:fldChar w:fldCharType="begin"/>
        </w:r>
        <w:r>
          <w:instrText xml:space="preserve"> PAGE   \* MERGEFORMAT </w:instrText>
        </w:r>
        <w:r>
          <w:fldChar w:fldCharType="separate"/>
        </w:r>
        <w:r w:rsidR="00A60A82">
          <w:rPr>
            <w:noProof/>
          </w:rPr>
          <w:t>786</w:t>
        </w:r>
        <w:r>
          <w:rPr>
            <w:noProof/>
          </w:rPr>
          <w:fldChar w:fldCharType="end"/>
        </w:r>
      </w:p>
    </w:sdtContent>
  </w:sdt>
  <w:p w14:paraId="59DCE11C" w14:textId="60D920F9" w:rsidR="00CE7968" w:rsidRDefault="00CE7968" w:rsidP="0000186A">
    <w:pPr>
      <w:ind w:left="0" w:firstLine="0"/>
    </w:pPr>
  </w:p>
  <w:p w14:paraId="3AF1C1B7" w14:textId="77777777" w:rsidR="00CE7968" w:rsidRDefault="00CE79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AF92F" w14:textId="77777777" w:rsidR="008C35E2" w:rsidRDefault="008C35E2" w:rsidP="00297167">
      <w:r>
        <w:separator/>
      </w:r>
    </w:p>
  </w:footnote>
  <w:footnote w:type="continuationSeparator" w:id="0">
    <w:p w14:paraId="1BC6AFFB" w14:textId="77777777" w:rsidR="008C35E2" w:rsidRDefault="008C35E2" w:rsidP="002971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19AB9" w14:textId="1FD7B593" w:rsidR="00CE7968" w:rsidRDefault="00CE7968" w:rsidP="00CA669B">
    <w:pPr>
      <w:pStyle w:val="Header"/>
      <w:ind w:left="0" w:firstLine="0"/>
      <w:rPr>
        <w:rFonts w:ascii="Verdana" w:hAnsi="Verdana"/>
        <w:i/>
        <w:sz w:val="16"/>
        <w:szCs w:val="16"/>
      </w:rPr>
    </w:pPr>
    <w:proofErr w:type="spellStart"/>
    <w:r w:rsidRPr="0059320B">
      <w:rPr>
        <w:rFonts w:ascii="Verdana" w:hAnsi="Verdana"/>
        <w:i/>
        <w:sz w:val="16"/>
        <w:szCs w:val="16"/>
      </w:rPr>
      <w:t>i</w:t>
    </w:r>
    <w:r>
      <w:rPr>
        <w:rFonts w:ascii="Verdana" w:hAnsi="Verdana"/>
        <w:i/>
        <w:sz w:val="16"/>
        <w:szCs w:val="16"/>
      </w:rPr>
      <w:t>RASD</w:t>
    </w:r>
    <w:proofErr w:type="spellEnd"/>
    <w:r>
      <w:rPr>
        <w:rFonts w:ascii="Verdana" w:hAnsi="Verdana"/>
        <w:i/>
        <w:sz w:val="16"/>
        <w:szCs w:val="16"/>
      </w:rPr>
      <w:t xml:space="preserve"> Journal of Economics</w:t>
    </w:r>
    <w:r w:rsidRPr="0008343C">
      <w:rPr>
        <w:rFonts w:ascii="Verdana" w:hAnsi="Verdana"/>
        <w:i/>
        <w:sz w:val="16"/>
        <w:szCs w:val="16"/>
      </w:rPr>
      <w:t xml:space="preserve"> </w:t>
    </w:r>
    <w:r>
      <w:rPr>
        <w:rFonts w:ascii="Verdana" w:hAnsi="Verdana"/>
        <w:i/>
        <w:sz w:val="16"/>
        <w:szCs w:val="16"/>
      </w:rPr>
      <w:t>5</w:t>
    </w:r>
    <w:r w:rsidRPr="0008343C">
      <w:rPr>
        <w:rFonts w:ascii="Verdana" w:hAnsi="Verdana"/>
        <w:i/>
        <w:sz w:val="16"/>
        <w:szCs w:val="16"/>
      </w:rPr>
      <w:t>(</w:t>
    </w:r>
    <w:r>
      <w:rPr>
        <w:rFonts w:ascii="Verdana" w:hAnsi="Verdana"/>
        <w:i/>
        <w:sz w:val="16"/>
        <w:szCs w:val="16"/>
      </w:rPr>
      <w:t>3</w:t>
    </w:r>
    <w:r w:rsidRPr="0008343C">
      <w:rPr>
        <w:rFonts w:ascii="Verdana" w:hAnsi="Verdana"/>
        <w:i/>
        <w:sz w:val="16"/>
        <w:szCs w:val="16"/>
      </w:rPr>
      <w:t>), 20</w:t>
    </w:r>
    <w:r>
      <w:rPr>
        <w:rFonts w:ascii="Verdana" w:hAnsi="Verdana"/>
        <w:i/>
        <w:sz w:val="16"/>
        <w:szCs w:val="16"/>
      </w:rPr>
      <w:t>23</w:t>
    </w:r>
  </w:p>
  <w:p w14:paraId="420FFB6C" w14:textId="18ADFDF5" w:rsidR="00CE7968" w:rsidRDefault="00CE7968" w:rsidP="0000186A">
    <w:pPr>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81FEB" w14:textId="7588BF6E" w:rsidR="00CE7968" w:rsidRPr="00BB4250" w:rsidRDefault="00CE7968" w:rsidP="00795924">
    <w:pPr>
      <w:pStyle w:val="Header"/>
      <w:jc w:val="right"/>
      <w:rPr>
        <w:rFonts w:ascii="Verdana" w:hAnsi="Verdana"/>
        <w:i/>
        <w:sz w:val="14"/>
        <w:szCs w:val="14"/>
      </w:rPr>
    </w:pPr>
    <w:r w:rsidRPr="00FE3B6F">
      <w:rPr>
        <w:rFonts w:ascii="Verdana" w:hAnsi="Verdana"/>
        <w:i/>
        <w:sz w:val="14"/>
        <w:szCs w:val="14"/>
      </w:rPr>
      <w:t xml:space="preserve">Waqar, </w:t>
    </w:r>
    <w:proofErr w:type="spellStart"/>
    <w:r w:rsidRPr="00FE3B6F">
      <w:rPr>
        <w:rFonts w:ascii="Verdana" w:hAnsi="Verdana"/>
        <w:i/>
        <w:sz w:val="14"/>
        <w:szCs w:val="14"/>
      </w:rPr>
      <w:t>Mukamil</w:t>
    </w:r>
    <w:proofErr w:type="spellEnd"/>
    <w:r w:rsidRPr="00FE3B6F">
      <w:rPr>
        <w:rFonts w:ascii="Verdana" w:hAnsi="Verdana"/>
        <w:i/>
        <w:sz w:val="14"/>
        <w:szCs w:val="14"/>
      </w:rPr>
      <w:t xml:space="preserve"> Shah, Manzar Zia</w:t>
    </w:r>
  </w:p>
  <w:p w14:paraId="3C03CA40" w14:textId="77777777" w:rsidR="00CE7968" w:rsidRDefault="00CE7968" w:rsidP="00226950">
    <w:pP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2F5DD" w14:textId="123160D8" w:rsidR="00CE7968" w:rsidRDefault="00CE7968" w:rsidP="006F7E21">
    <w:pPr>
      <w:pStyle w:val="Header"/>
    </w:pPr>
    <w:r w:rsidRPr="008022FF">
      <w:rPr>
        <w:rFonts w:eastAsiaTheme="minorHAnsi"/>
        <w:sz w:val="23"/>
        <w:szCs w:val="23"/>
      </w:rPr>
      <w:t>https://doi.org/10.52131/joe.202</w:t>
    </w:r>
    <w:r>
      <w:rPr>
        <w:rFonts w:eastAsiaTheme="minorHAnsi"/>
        <w:sz w:val="23"/>
        <w:szCs w:val="23"/>
      </w:rPr>
      <w:t>3</w:t>
    </w:r>
    <w:r w:rsidRPr="008022FF">
      <w:rPr>
        <w:rFonts w:eastAsiaTheme="minorHAnsi"/>
        <w:sz w:val="23"/>
        <w:szCs w:val="23"/>
      </w:rPr>
      <w:t>.0</w:t>
    </w:r>
    <w:r>
      <w:rPr>
        <w:rFonts w:eastAsiaTheme="minorHAnsi"/>
        <w:sz w:val="23"/>
        <w:szCs w:val="23"/>
      </w:rPr>
      <w:t>5</w:t>
    </w:r>
    <w:r w:rsidRPr="008022FF">
      <w:rPr>
        <w:rFonts w:eastAsiaTheme="minorHAnsi"/>
        <w:sz w:val="23"/>
        <w:szCs w:val="23"/>
      </w:rPr>
      <w:t>0</w:t>
    </w:r>
    <w:r>
      <w:rPr>
        <w:rFonts w:eastAsiaTheme="minorHAnsi"/>
        <w:sz w:val="23"/>
        <w:szCs w:val="23"/>
      </w:rPr>
      <w:t>3</w:t>
    </w:r>
    <w:r w:rsidRPr="008022FF">
      <w:rPr>
        <w:rFonts w:eastAsiaTheme="minorHAnsi"/>
        <w:sz w:val="23"/>
        <w:szCs w:val="23"/>
      </w:rPr>
      <w:t>.</w:t>
    </w:r>
    <w:r w:rsidRPr="009F5E70">
      <w:rPr>
        <w:rFonts w:eastAsiaTheme="minorHAnsi"/>
        <w:sz w:val="23"/>
        <w:szCs w:val="23"/>
      </w:rPr>
      <w:t>01</w:t>
    </w:r>
    <w:r>
      <w:rPr>
        <w:rFonts w:eastAsiaTheme="minorHAnsi"/>
        <w:sz w:val="23"/>
        <w:szCs w:val="23"/>
      </w:rPr>
      <w:t>62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212BF4E"/>
    <w:lvl w:ilvl="0">
      <w:start w:val="1"/>
      <w:numFmt w:val="decimal"/>
      <w:pStyle w:val="ListNumber"/>
      <w:lvlText w:val="%1."/>
      <w:lvlJc w:val="left"/>
      <w:pPr>
        <w:tabs>
          <w:tab w:val="num" w:pos="360"/>
        </w:tabs>
        <w:ind w:left="360" w:hanging="360"/>
      </w:pPr>
    </w:lvl>
  </w:abstractNum>
  <w:abstractNum w:abstractNumId="1" w15:restartNumberingAfterBreak="0">
    <w:nsid w:val="02D72A19"/>
    <w:multiLevelType w:val="singleLevel"/>
    <w:tmpl w:val="5D424376"/>
    <w:lvl w:ilvl="0">
      <w:start w:val="1"/>
      <w:numFmt w:val="bullet"/>
      <w:pStyle w:val="bulletlist"/>
      <w:lvlText w:val=""/>
      <w:lvlJc w:val="left"/>
      <w:pPr>
        <w:tabs>
          <w:tab w:val="num" w:pos="648"/>
        </w:tabs>
        <w:ind w:left="648" w:hanging="360"/>
      </w:pPr>
      <w:rPr>
        <w:rFonts w:ascii="Symbol" w:eastAsia="Symbol" w:hAnsi="Symbol" w:hint="default"/>
        <w:b w:val="0"/>
        <w:i w:val="0"/>
        <w:strike w:val="0"/>
        <w:color w:val="auto"/>
        <w:position w:val="0"/>
        <w:sz w:val="20"/>
        <w:u w:val="none"/>
        <w:shd w:val="clear" w:color="auto" w:fill="auto"/>
      </w:rPr>
    </w:lvl>
  </w:abstractNum>
  <w:abstractNum w:abstractNumId="2" w15:restartNumberingAfterBreak="0">
    <w:nsid w:val="03E64A5A"/>
    <w:multiLevelType w:val="hybridMultilevel"/>
    <w:tmpl w:val="3766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620E8"/>
    <w:multiLevelType w:val="multilevel"/>
    <w:tmpl w:val="11FC41A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A5A3F1F"/>
    <w:multiLevelType w:val="multilevel"/>
    <w:tmpl w:val="EA44C9A0"/>
    <w:lvl w:ilvl="0">
      <w:start w:val="1"/>
      <w:numFmt w:val="decimal"/>
      <w:lvlText w:val="%1."/>
      <w:lvlJc w:val="left"/>
      <w:pPr>
        <w:ind w:left="720" w:hanging="360"/>
      </w:pPr>
    </w:lvl>
    <w:lvl w:ilvl="1">
      <w:start w:val="1"/>
      <w:numFmt w:val="decimal"/>
      <w:isLgl/>
      <w:lvlText w:val="%1.%2."/>
      <w:lvlJc w:val="left"/>
      <w:pPr>
        <w:ind w:left="1080" w:hanging="720"/>
      </w:pPr>
      <w:rPr>
        <w:rFonts w:hint="default"/>
        <w:b/>
        <w:bCs/>
        <w:color w:val="auto"/>
      </w:rPr>
    </w:lvl>
    <w:lvl w:ilvl="2">
      <w:start w:val="1"/>
      <w:numFmt w:val="decimal"/>
      <w:isLgl/>
      <w:lvlText w:val="%1.%2.%3."/>
      <w:lvlJc w:val="left"/>
      <w:pPr>
        <w:ind w:left="1440" w:hanging="108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800" w:hanging="1440"/>
      </w:pPr>
      <w:rPr>
        <w:rFonts w:hint="default"/>
        <w:color w:val="auto"/>
      </w:rPr>
    </w:lvl>
    <w:lvl w:ilvl="5">
      <w:start w:val="1"/>
      <w:numFmt w:val="decimal"/>
      <w:isLgl/>
      <w:lvlText w:val="%1.%2.%3.%4.%5.%6."/>
      <w:lvlJc w:val="left"/>
      <w:pPr>
        <w:ind w:left="2160" w:hanging="1800"/>
      </w:pPr>
      <w:rPr>
        <w:rFonts w:hint="default"/>
        <w:color w:val="auto"/>
      </w:rPr>
    </w:lvl>
    <w:lvl w:ilvl="6">
      <w:start w:val="1"/>
      <w:numFmt w:val="decimal"/>
      <w:isLgl/>
      <w:lvlText w:val="%1.%2.%3.%4.%5.%6.%7."/>
      <w:lvlJc w:val="left"/>
      <w:pPr>
        <w:ind w:left="2160" w:hanging="1800"/>
      </w:pPr>
      <w:rPr>
        <w:rFonts w:hint="default"/>
        <w:color w:val="auto"/>
      </w:rPr>
    </w:lvl>
    <w:lvl w:ilvl="7">
      <w:start w:val="1"/>
      <w:numFmt w:val="decimal"/>
      <w:isLgl/>
      <w:lvlText w:val="%1.%2.%3.%4.%5.%6.%7.%8."/>
      <w:lvlJc w:val="left"/>
      <w:pPr>
        <w:ind w:left="2520" w:hanging="2160"/>
      </w:pPr>
      <w:rPr>
        <w:rFonts w:hint="default"/>
        <w:color w:val="auto"/>
      </w:rPr>
    </w:lvl>
    <w:lvl w:ilvl="8">
      <w:start w:val="1"/>
      <w:numFmt w:val="decimal"/>
      <w:isLgl/>
      <w:lvlText w:val="%1.%2.%3.%4.%5.%6.%7.%8.%9."/>
      <w:lvlJc w:val="left"/>
      <w:pPr>
        <w:ind w:left="2880" w:hanging="2520"/>
      </w:pPr>
      <w:rPr>
        <w:rFonts w:hint="default"/>
        <w:color w:val="auto"/>
      </w:rPr>
    </w:lvl>
  </w:abstractNum>
  <w:abstractNum w:abstractNumId="5" w15:restartNumberingAfterBreak="0">
    <w:nsid w:val="0ACB4277"/>
    <w:multiLevelType w:val="hybridMultilevel"/>
    <w:tmpl w:val="045212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FA27B36"/>
    <w:multiLevelType w:val="hybridMultilevel"/>
    <w:tmpl w:val="A06CD4D0"/>
    <w:lvl w:ilvl="0" w:tplc="C49C2EA0">
      <w:start w:val="1"/>
      <w:numFmt w:val="bullet"/>
      <w:pStyle w:val="JOMB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A65C9"/>
    <w:multiLevelType w:val="multilevel"/>
    <w:tmpl w:val="4CCE0F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2E46650"/>
    <w:multiLevelType w:val="singleLevel"/>
    <w:tmpl w:val="8B301ABC"/>
    <w:lvl w:ilvl="0">
      <w:start w:val="1"/>
      <w:numFmt w:val="lowerRoman"/>
      <w:pStyle w:val="Subnumbers"/>
      <w:lvlText w:val="(%1)"/>
      <w:lvlJc w:val="left"/>
      <w:pPr>
        <w:tabs>
          <w:tab w:val="num" w:pos="1440"/>
        </w:tabs>
        <w:ind w:left="1440" w:hanging="360"/>
      </w:pPr>
      <w:rPr>
        <w:rFonts w:ascii="Times New Roman" w:eastAsia="Times New Roman" w:hAnsi="Times New Roman" w:hint="default"/>
        <w:b w:val="0"/>
        <w:i w:val="0"/>
        <w:strike w:val="0"/>
        <w:color w:val="auto"/>
        <w:position w:val="0"/>
        <w:sz w:val="24"/>
        <w:u w:val="none"/>
        <w:shd w:val="clear" w:color="auto" w:fill="auto"/>
      </w:rPr>
    </w:lvl>
  </w:abstractNum>
  <w:abstractNum w:abstractNumId="9" w15:restartNumberingAfterBreak="0">
    <w:nsid w:val="13AE370F"/>
    <w:multiLevelType w:val="hybridMultilevel"/>
    <w:tmpl w:val="707CC664"/>
    <w:lvl w:ilvl="0" w:tplc="80D01A4E">
      <w:start w:val="1"/>
      <w:numFmt w:val="lowerLetter"/>
      <w:lvlText w:val="(%1)"/>
      <w:lvlJc w:val="left"/>
      <w:pPr>
        <w:ind w:left="2520" w:hanging="36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10" w15:restartNumberingAfterBreak="0">
    <w:nsid w:val="17507F16"/>
    <w:multiLevelType w:val="multilevel"/>
    <w:tmpl w:val="614C32CA"/>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3"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14" w15:restartNumberingAfterBreak="0">
    <w:nsid w:val="210A3435"/>
    <w:multiLevelType w:val="hybridMultilevel"/>
    <w:tmpl w:val="7A904884"/>
    <w:lvl w:ilvl="0" w:tplc="D34497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FA1BB4"/>
    <w:multiLevelType w:val="multilevel"/>
    <w:tmpl w:val="11FC4B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971EBC"/>
    <w:multiLevelType w:val="multilevel"/>
    <w:tmpl w:val="DB784DEE"/>
    <w:lvl w:ilvl="0">
      <w:start w:val="1"/>
      <w:numFmt w:val="decimal"/>
      <w:lvlText w:val="%1."/>
      <w:lvlJc w:val="left"/>
      <w:pPr>
        <w:ind w:left="720" w:hanging="360"/>
      </w:pPr>
      <w:rPr>
        <w:rFonts w:hint="default"/>
        <w:color w:val="auto"/>
        <w:sz w:val="22"/>
        <w:szCs w:val="22"/>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7" w15:restartNumberingAfterBreak="0">
    <w:nsid w:val="2F1E52D6"/>
    <w:multiLevelType w:val="multilevel"/>
    <w:tmpl w:val="3F808828"/>
    <w:lvl w:ilvl="0">
      <w:start w:val="1"/>
      <w:numFmt w:val="decimal"/>
      <w:pStyle w:val="sectionhead1"/>
      <w:lvlText w:val="%1."/>
      <w:lvlJc w:val="left"/>
      <w:pPr>
        <w:tabs>
          <w:tab w:val="num" w:pos="720"/>
        </w:tabs>
        <w:ind w:left="720" w:hanging="360"/>
      </w:pPr>
      <w:rPr>
        <w:rFonts w:ascii="Times New Roman" w:eastAsia="Times New Roman" w:hAnsi="Times New Roman"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8" w15:restartNumberingAfterBreak="0">
    <w:nsid w:val="2FE22AA2"/>
    <w:multiLevelType w:val="hybridMultilevel"/>
    <w:tmpl w:val="75164CDC"/>
    <w:lvl w:ilvl="0" w:tplc="248C7346">
      <w:start w:val="1"/>
      <w:numFmt w:val="decimal"/>
      <w:pStyle w:val="JOMN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185836"/>
    <w:multiLevelType w:val="multilevel"/>
    <w:tmpl w:val="8254787A"/>
    <w:lvl w:ilvl="0">
      <w:start w:val="1"/>
      <w:numFmt w:val="decimal"/>
      <w:lvlText w:val="%1."/>
      <w:lvlJc w:val="left"/>
      <w:pPr>
        <w:ind w:left="720" w:hanging="360"/>
      </w:pPr>
      <w:rPr>
        <w:rFonts w:hint="default"/>
        <w:color w:val="000000" w:themeColor="text1"/>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0" w15:restartNumberingAfterBreak="0">
    <w:nsid w:val="398B3B84"/>
    <w:multiLevelType w:val="multilevel"/>
    <w:tmpl w:val="BF5A8A38"/>
    <w:lvl w:ilvl="0">
      <w:start w:val="1"/>
      <w:numFmt w:val="bullet"/>
      <w:pStyle w:val="Bullet"/>
      <w:lvlText w:val=""/>
      <w:lvlJc w:val="left"/>
      <w:pPr>
        <w:tabs>
          <w:tab w:val="num" w:pos="360"/>
        </w:tabs>
        <w:ind w:left="240" w:hanging="240"/>
      </w:pPr>
      <w:rPr>
        <w:rFonts w:ascii="Wingdings" w:hAnsi="Wingdings"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1" w15:restartNumberingAfterBreak="0">
    <w:nsid w:val="3BDB6E00"/>
    <w:multiLevelType w:val="multilevel"/>
    <w:tmpl w:val="2EE2FCCC"/>
    <w:lvl w:ilvl="0">
      <w:start w:val="1"/>
      <w:numFmt w:val="decimal"/>
      <w:lvlText w:val="%1."/>
      <w:lvlJc w:val="left"/>
      <w:pPr>
        <w:ind w:left="720" w:hanging="360"/>
      </w:pPr>
      <w:rPr>
        <w:b/>
        <w:bCs/>
      </w:rPr>
    </w:lvl>
    <w:lvl w:ilvl="1">
      <w:start w:val="2"/>
      <w:numFmt w:val="decimal"/>
      <w:isLgl/>
      <w:lvlText w:val="%1.%2."/>
      <w:lvlJc w:val="left"/>
      <w:pPr>
        <w:ind w:left="1080" w:hanging="720"/>
      </w:pPr>
      <w:rPr>
        <w:rFonts w:eastAsia="URWPalladioL-Ital" w:hint="default"/>
      </w:rPr>
    </w:lvl>
    <w:lvl w:ilvl="2">
      <w:start w:val="1"/>
      <w:numFmt w:val="decimal"/>
      <w:isLgl/>
      <w:lvlText w:val="%1.%2.%3."/>
      <w:lvlJc w:val="left"/>
      <w:pPr>
        <w:ind w:left="1440" w:hanging="1080"/>
      </w:pPr>
      <w:rPr>
        <w:rFonts w:eastAsia="URWPalladioL-Ital" w:hint="default"/>
        <w:i w:val="0"/>
        <w:iCs/>
      </w:rPr>
    </w:lvl>
    <w:lvl w:ilvl="3">
      <w:start w:val="1"/>
      <w:numFmt w:val="decimal"/>
      <w:isLgl/>
      <w:lvlText w:val="%1.%2.%3.%4."/>
      <w:lvlJc w:val="left"/>
      <w:pPr>
        <w:ind w:left="1440" w:hanging="1080"/>
      </w:pPr>
      <w:rPr>
        <w:rFonts w:eastAsia="URWPalladioL-Ital" w:hint="default"/>
      </w:rPr>
    </w:lvl>
    <w:lvl w:ilvl="4">
      <w:start w:val="1"/>
      <w:numFmt w:val="decimal"/>
      <w:isLgl/>
      <w:lvlText w:val="%1.%2.%3.%4.%5."/>
      <w:lvlJc w:val="left"/>
      <w:pPr>
        <w:ind w:left="1800" w:hanging="1440"/>
      </w:pPr>
      <w:rPr>
        <w:rFonts w:eastAsia="URWPalladioL-Ital" w:hint="default"/>
      </w:rPr>
    </w:lvl>
    <w:lvl w:ilvl="5">
      <w:start w:val="1"/>
      <w:numFmt w:val="decimal"/>
      <w:isLgl/>
      <w:lvlText w:val="%1.%2.%3.%4.%5.%6."/>
      <w:lvlJc w:val="left"/>
      <w:pPr>
        <w:ind w:left="2160" w:hanging="1800"/>
      </w:pPr>
      <w:rPr>
        <w:rFonts w:eastAsia="URWPalladioL-Ital" w:hint="default"/>
      </w:rPr>
    </w:lvl>
    <w:lvl w:ilvl="6">
      <w:start w:val="1"/>
      <w:numFmt w:val="decimal"/>
      <w:isLgl/>
      <w:lvlText w:val="%1.%2.%3.%4.%5.%6.%7."/>
      <w:lvlJc w:val="left"/>
      <w:pPr>
        <w:ind w:left="2160" w:hanging="1800"/>
      </w:pPr>
      <w:rPr>
        <w:rFonts w:eastAsia="URWPalladioL-Ital" w:hint="default"/>
      </w:rPr>
    </w:lvl>
    <w:lvl w:ilvl="7">
      <w:start w:val="1"/>
      <w:numFmt w:val="decimal"/>
      <w:isLgl/>
      <w:lvlText w:val="%1.%2.%3.%4.%5.%6.%7.%8."/>
      <w:lvlJc w:val="left"/>
      <w:pPr>
        <w:ind w:left="2520" w:hanging="2160"/>
      </w:pPr>
      <w:rPr>
        <w:rFonts w:eastAsia="URWPalladioL-Ital" w:hint="default"/>
      </w:rPr>
    </w:lvl>
    <w:lvl w:ilvl="8">
      <w:start w:val="1"/>
      <w:numFmt w:val="decimal"/>
      <w:isLgl/>
      <w:lvlText w:val="%1.%2.%3.%4.%5.%6.%7.%8.%9."/>
      <w:lvlJc w:val="left"/>
      <w:pPr>
        <w:ind w:left="2880" w:hanging="2520"/>
      </w:pPr>
      <w:rPr>
        <w:rFonts w:eastAsia="URWPalladioL-Ital" w:hint="default"/>
      </w:rPr>
    </w:lvl>
  </w:abstractNum>
  <w:abstractNum w:abstractNumId="22" w15:restartNumberingAfterBreak="0">
    <w:nsid w:val="40F11ED7"/>
    <w:multiLevelType w:val="hybridMultilevel"/>
    <w:tmpl w:val="ED2C714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7B13AA"/>
    <w:multiLevelType w:val="hybridMultilevel"/>
    <w:tmpl w:val="30601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2771B"/>
    <w:multiLevelType w:val="hybridMultilevel"/>
    <w:tmpl w:val="A2A06AAC"/>
    <w:lvl w:ilvl="0" w:tplc="C788203A">
      <w:start w:val="1"/>
      <w:numFmt w:val="decimal"/>
      <w:lvlRestart w:val="0"/>
      <w:pStyle w:val="MDPI71FootNotes"/>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26" w15:restartNumberingAfterBreak="0">
    <w:nsid w:val="54AE68A7"/>
    <w:multiLevelType w:val="multilevel"/>
    <w:tmpl w:val="3F54C6C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8B0611"/>
    <w:multiLevelType w:val="multilevel"/>
    <w:tmpl w:val="F45AE56C"/>
    <w:styleLink w:val="Style2"/>
    <w:lvl w:ilvl="0">
      <w:start w:val="2"/>
      <w:numFmt w:val="decimal"/>
      <w:lvlText w:val="%1"/>
      <w:lvlJc w:val="left"/>
      <w:pPr>
        <w:ind w:left="360" w:hanging="360"/>
      </w:pPr>
      <w:rPr>
        <w:rFonts w:hint="default"/>
      </w:rPr>
    </w:lvl>
    <w:lvl w:ilvl="1">
      <w:start w:val="3"/>
      <w:numFmt w:val="none"/>
      <w:lvlText w:val="6.1.2"/>
      <w:lvlJc w:val="left"/>
      <w:pPr>
        <w:ind w:left="1440" w:hanging="360"/>
      </w:pPr>
      <w:rPr>
        <w:rFonts w:hint="default"/>
      </w:rPr>
    </w:lvl>
    <w:lvl w:ilvl="2">
      <w:start w:val="1"/>
      <w:numFmt w:val="none"/>
      <w:lvlText w:val="6.1.2.1"/>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9" w15:restartNumberingAfterBreak="0">
    <w:nsid w:val="5A22190E"/>
    <w:multiLevelType w:val="multilevel"/>
    <w:tmpl w:val="1D42C0C4"/>
    <w:lvl w:ilvl="0">
      <w:start w:val="1"/>
      <w:numFmt w:val="decimal"/>
      <w:pStyle w:val="Heading1"/>
      <w:lvlText w:val="%1."/>
      <w:lvlJc w:val="left"/>
      <w:pPr>
        <w:ind w:left="1080" w:hanging="360"/>
      </w:pPr>
      <w:rPr>
        <w:rFonts w:hint="default"/>
      </w:rPr>
    </w:lvl>
    <w:lvl w:ilvl="1">
      <w:start w:val="1"/>
      <w:numFmt w:val="decimal"/>
      <w:isLgl/>
      <w:lvlText w:val="%1.%2."/>
      <w:lvlJc w:val="left"/>
      <w:pPr>
        <w:ind w:left="1440" w:hanging="720"/>
      </w:pPr>
      <w:rPr>
        <w:rFonts w:hint="default"/>
        <w:color w:val="auto"/>
        <w:sz w:val="22"/>
        <w:szCs w:val="22"/>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0" w15:restartNumberingAfterBreak="0">
    <w:nsid w:val="5B522176"/>
    <w:multiLevelType w:val="hybridMultilevel"/>
    <w:tmpl w:val="B218D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2" w15:restartNumberingAfterBreak="0">
    <w:nsid w:val="5FC014E1"/>
    <w:multiLevelType w:val="hybridMultilevel"/>
    <w:tmpl w:val="4086C6BA"/>
    <w:lvl w:ilvl="0" w:tplc="D34497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8238F9"/>
    <w:multiLevelType w:val="hybridMultilevel"/>
    <w:tmpl w:val="B606A0FC"/>
    <w:lvl w:ilvl="0" w:tplc="0CE2AA46">
      <w:start w:val="1"/>
      <w:numFmt w:val="lowerLetter"/>
      <w:lvlText w:val="(%1)"/>
      <w:lvlJc w:val="left"/>
      <w:pPr>
        <w:ind w:left="2520" w:hanging="360"/>
      </w:pPr>
      <w:rPr>
        <w:rFonts w:hint="default"/>
      </w:rPr>
    </w:lvl>
    <w:lvl w:ilvl="1" w:tplc="20000019">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34" w15:restartNumberingAfterBreak="0">
    <w:nsid w:val="6E7676EE"/>
    <w:multiLevelType w:val="hybridMultilevel"/>
    <w:tmpl w:val="5A7CD0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781090"/>
    <w:multiLevelType w:val="hybridMultilevel"/>
    <w:tmpl w:val="E5FED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7D4E76"/>
    <w:multiLevelType w:val="multilevel"/>
    <w:tmpl w:val="78CEFF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4936AB2"/>
    <w:multiLevelType w:val="multilevel"/>
    <w:tmpl w:val="504622B8"/>
    <w:styleLink w:val="Style3"/>
    <w:lvl w:ilvl="0">
      <w:start w:val="1"/>
      <w:numFmt w:val="decimal"/>
      <w:lvlText w:val="4.%1"/>
      <w:lvlJc w:val="left"/>
      <w:pPr>
        <w:ind w:left="432" w:hanging="432"/>
      </w:pPr>
      <w:rPr>
        <w:rFonts w:hint="default"/>
        <w:b/>
        <w:bCs w:val="0"/>
        <w:i w:val="0"/>
        <w:iCs w:val="0"/>
        <w:caps w:val="0"/>
        <w:smallCaps w:val="0"/>
        <w:strike w:val="0"/>
        <w:dstrike w:val="0"/>
        <w:snapToGrid w:val="0"/>
        <w:vanish w:val="0"/>
        <w:color w:val="auto"/>
        <w:spacing w:val="0"/>
        <w:w w:val="0"/>
        <w:kern w:val="0"/>
        <w:position w:val="0"/>
        <w:szCs w:val="0"/>
        <w:u w:val="none"/>
        <w:vertAlign w:val="baseline"/>
        <w:em w:val="none"/>
      </w:rPr>
    </w:lvl>
    <w:lvl w:ilvl="1">
      <w:start w:val="5"/>
      <w:numFmt w:val="decimal"/>
      <w:lvlText w:val="4.%2.1"/>
      <w:lvlJc w:val="left"/>
      <w:pPr>
        <w:ind w:left="666" w:hanging="576"/>
      </w:pPr>
      <w:rPr>
        <w:rFonts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2">
      <w:start w:val="1"/>
      <w:numFmt w:val="decimal"/>
      <w:lvlText w:val="%1.%2.%3"/>
      <w:lvlJc w:val="left"/>
      <w:pPr>
        <w:ind w:left="3414" w:hanging="720"/>
      </w:pPr>
      <w:rPr>
        <w:rFonts w:ascii="Times New Roman" w:hAnsi="Times New Roman" w:cs="Times New Roman" w:hint="default"/>
        <w:b/>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4.5.%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78731B73"/>
    <w:multiLevelType w:val="hybridMultilevel"/>
    <w:tmpl w:val="CC1A83C0"/>
    <w:lvl w:ilvl="0" w:tplc="E508FC42">
      <w:start w:val="1"/>
      <w:numFmt w:val="decimal"/>
      <w:lvlText w:val="%1"/>
      <w:lvlJc w:val="left"/>
      <w:pPr>
        <w:ind w:left="720" w:hanging="360"/>
      </w:pPr>
      <w:rPr>
        <w:rFonts w:ascii="Arial" w:eastAsiaTheme="minorHAnsi" w:hAnsi="Arial" w:cs="Aria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446645"/>
    <w:multiLevelType w:val="multilevel"/>
    <w:tmpl w:val="7944664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C132C28"/>
    <w:multiLevelType w:val="hybridMultilevel"/>
    <w:tmpl w:val="AE708998"/>
    <w:lvl w:ilvl="0" w:tplc="427E4B56">
      <w:start w:val="1"/>
      <w:numFmt w:val="lowerLetter"/>
      <w:lvlText w:val="(%1)"/>
      <w:lvlJc w:val="left"/>
      <w:pPr>
        <w:ind w:left="2520" w:hanging="360"/>
      </w:pPr>
      <w:rPr>
        <w:rFonts w:hint="default"/>
      </w:rPr>
    </w:lvl>
    <w:lvl w:ilvl="1" w:tplc="20000019" w:tentative="1">
      <w:start w:val="1"/>
      <w:numFmt w:val="lowerLetter"/>
      <w:lvlText w:val="%2."/>
      <w:lvlJc w:val="left"/>
      <w:pPr>
        <w:ind w:left="3240" w:hanging="360"/>
      </w:pPr>
    </w:lvl>
    <w:lvl w:ilvl="2" w:tplc="2000001B" w:tentative="1">
      <w:start w:val="1"/>
      <w:numFmt w:val="lowerRoman"/>
      <w:lvlText w:val="%3."/>
      <w:lvlJc w:val="right"/>
      <w:pPr>
        <w:ind w:left="3960" w:hanging="180"/>
      </w:pPr>
    </w:lvl>
    <w:lvl w:ilvl="3" w:tplc="2000000F" w:tentative="1">
      <w:start w:val="1"/>
      <w:numFmt w:val="decimal"/>
      <w:lvlText w:val="%4."/>
      <w:lvlJc w:val="left"/>
      <w:pPr>
        <w:ind w:left="4680" w:hanging="360"/>
      </w:pPr>
    </w:lvl>
    <w:lvl w:ilvl="4" w:tplc="20000019" w:tentative="1">
      <w:start w:val="1"/>
      <w:numFmt w:val="lowerLetter"/>
      <w:lvlText w:val="%5."/>
      <w:lvlJc w:val="left"/>
      <w:pPr>
        <w:ind w:left="5400" w:hanging="360"/>
      </w:pPr>
    </w:lvl>
    <w:lvl w:ilvl="5" w:tplc="2000001B" w:tentative="1">
      <w:start w:val="1"/>
      <w:numFmt w:val="lowerRoman"/>
      <w:lvlText w:val="%6."/>
      <w:lvlJc w:val="right"/>
      <w:pPr>
        <w:ind w:left="6120" w:hanging="180"/>
      </w:pPr>
    </w:lvl>
    <w:lvl w:ilvl="6" w:tplc="2000000F" w:tentative="1">
      <w:start w:val="1"/>
      <w:numFmt w:val="decimal"/>
      <w:lvlText w:val="%7."/>
      <w:lvlJc w:val="left"/>
      <w:pPr>
        <w:ind w:left="6840" w:hanging="360"/>
      </w:pPr>
    </w:lvl>
    <w:lvl w:ilvl="7" w:tplc="20000019" w:tentative="1">
      <w:start w:val="1"/>
      <w:numFmt w:val="lowerLetter"/>
      <w:lvlText w:val="%8."/>
      <w:lvlJc w:val="left"/>
      <w:pPr>
        <w:ind w:left="7560" w:hanging="360"/>
      </w:pPr>
    </w:lvl>
    <w:lvl w:ilvl="8" w:tplc="2000001B" w:tentative="1">
      <w:start w:val="1"/>
      <w:numFmt w:val="lowerRoman"/>
      <w:lvlText w:val="%9."/>
      <w:lvlJc w:val="right"/>
      <w:pPr>
        <w:ind w:left="8280" w:hanging="180"/>
      </w:pPr>
    </w:lvl>
  </w:abstractNum>
  <w:abstractNum w:abstractNumId="41" w15:restartNumberingAfterBreak="0">
    <w:nsid w:val="7F7D2F68"/>
    <w:multiLevelType w:val="hybridMultilevel"/>
    <w:tmpl w:val="B0542B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75778624">
    <w:abstractNumId w:val="6"/>
  </w:num>
  <w:num w:numId="2" w16cid:durableId="1392077457">
    <w:abstractNumId w:val="0"/>
  </w:num>
  <w:num w:numId="3" w16cid:durableId="693769285">
    <w:abstractNumId w:val="18"/>
  </w:num>
  <w:num w:numId="4" w16cid:durableId="390730761">
    <w:abstractNumId w:val="25"/>
  </w:num>
  <w:num w:numId="5" w16cid:durableId="1724602828">
    <w:abstractNumId w:val="13"/>
  </w:num>
  <w:num w:numId="6" w16cid:durableId="1703050960">
    <w:abstractNumId w:val="11"/>
  </w:num>
  <w:num w:numId="7" w16cid:durableId="1779641682">
    <w:abstractNumId w:val="24"/>
  </w:num>
  <w:num w:numId="8" w16cid:durableId="1149203703">
    <w:abstractNumId w:val="31"/>
  </w:num>
  <w:num w:numId="9" w16cid:durableId="2030987807">
    <w:abstractNumId w:val="12"/>
  </w:num>
  <w:num w:numId="10" w16cid:durableId="71506900">
    <w:abstractNumId w:val="20"/>
  </w:num>
  <w:num w:numId="11" w16cid:durableId="744255741">
    <w:abstractNumId w:val="28"/>
  </w:num>
  <w:num w:numId="12" w16cid:durableId="1682973710">
    <w:abstractNumId w:val="8"/>
  </w:num>
  <w:num w:numId="13" w16cid:durableId="1922059237">
    <w:abstractNumId w:val="1"/>
  </w:num>
  <w:num w:numId="14" w16cid:durableId="1015424270">
    <w:abstractNumId w:val="17"/>
  </w:num>
  <w:num w:numId="15" w16cid:durableId="977955584">
    <w:abstractNumId w:val="27"/>
  </w:num>
  <w:num w:numId="16" w16cid:durableId="859008558">
    <w:abstractNumId w:val="37"/>
  </w:num>
  <w:num w:numId="17" w16cid:durableId="950084763">
    <w:abstractNumId w:val="29"/>
  </w:num>
  <w:num w:numId="18" w16cid:durableId="4863966">
    <w:abstractNumId w:val="22"/>
  </w:num>
  <w:num w:numId="19" w16cid:durableId="1298799629">
    <w:abstractNumId w:val="4"/>
  </w:num>
  <w:num w:numId="20" w16cid:durableId="1495683627">
    <w:abstractNumId w:val="5"/>
  </w:num>
  <w:num w:numId="21" w16cid:durableId="1120107047">
    <w:abstractNumId w:val="36"/>
  </w:num>
  <w:num w:numId="22" w16cid:durableId="1491021045">
    <w:abstractNumId w:val="23"/>
  </w:num>
  <w:num w:numId="23" w16cid:durableId="1558859333">
    <w:abstractNumId w:val="34"/>
  </w:num>
  <w:num w:numId="24" w16cid:durableId="1328553106">
    <w:abstractNumId w:val="39"/>
  </w:num>
  <w:num w:numId="25" w16cid:durableId="747994957">
    <w:abstractNumId w:val="14"/>
  </w:num>
  <w:num w:numId="26" w16cid:durableId="1895971991">
    <w:abstractNumId w:val="32"/>
  </w:num>
  <w:num w:numId="27" w16cid:durableId="193466291">
    <w:abstractNumId w:val="3"/>
  </w:num>
  <w:num w:numId="28" w16cid:durableId="946501984">
    <w:abstractNumId w:val="38"/>
  </w:num>
  <w:num w:numId="29" w16cid:durableId="551963638">
    <w:abstractNumId w:val="33"/>
  </w:num>
  <w:num w:numId="30" w16cid:durableId="2116975098">
    <w:abstractNumId w:val="40"/>
  </w:num>
  <w:num w:numId="31" w16cid:durableId="2043936777">
    <w:abstractNumId w:val="9"/>
  </w:num>
  <w:num w:numId="32" w16cid:durableId="1720586280">
    <w:abstractNumId w:val="2"/>
  </w:num>
  <w:num w:numId="33" w16cid:durableId="2038507548">
    <w:abstractNumId w:val="21"/>
  </w:num>
  <w:num w:numId="34" w16cid:durableId="837693796">
    <w:abstractNumId w:val="35"/>
  </w:num>
  <w:num w:numId="35" w16cid:durableId="1971856358">
    <w:abstractNumId w:val="41"/>
  </w:num>
  <w:num w:numId="36" w16cid:durableId="1116679590">
    <w:abstractNumId w:val="19"/>
  </w:num>
  <w:num w:numId="37" w16cid:durableId="1959945651">
    <w:abstractNumId w:val="16"/>
  </w:num>
  <w:num w:numId="38" w16cid:durableId="451748242">
    <w:abstractNumId w:val="30"/>
  </w:num>
  <w:num w:numId="39" w16cid:durableId="1516309766">
    <w:abstractNumId w:val="7"/>
  </w:num>
  <w:num w:numId="40" w16cid:durableId="948123703">
    <w:abstractNumId w:val="15"/>
  </w:num>
  <w:num w:numId="41" w16cid:durableId="247692649">
    <w:abstractNumId w:val="26"/>
  </w:num>
  <w:num w:numId="42" w16cid:durableId="700545876">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characterSpacingControl w:val="doNotCompress"/>
  <w:hdrShapeDefaults>
    <o:shapedefaults v:ext="edit" spidmax="206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DIxNDA1tzA3NTWwNDJV0lEKTi0uzszPAykwNDWsBQDEwZR1LgAAAA=="/>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Libraries&gt;"/>
  </w:docVars>
  <w:rsids>
    <w:rsidRoot w:val="00755B76"/>
    <w:rsid w:val="000003EC"/>
    <w:rsid w:val="00000485"/>
    <w:rsid w:val="0000069D"/>
    <w:rsid w:val="00000717"/>
    <w:rsid w:val="000007F5"/>
    <w:rsid w:val="0000108D"/>
    <w:rsid w:val="000012DF"/>
    <w:rsid w:val="00001562"/>
    <w:rsid w:val="0000186A"/>
    <w:rsid w:val="00001DD0"/>
    <w:rsid w:val="00001FC9"/>
    <w:rsid w:val="000020FC"/>
    <w:rsid w:val="000026DB"/>
    <w:rsid w:val="00002D89"/>
    <w:rsid w:val="00002F7E"/>
    <w:rsid w:val="0000366D"/>
    <w:rsid w:val="0000395C"/>
    <w:rsid w:val="000039CC"/>
    <w:rsid w:val="00003C11"/>
    <w:rsid w:val="00003D0B"/>
    <w:rsid w:val="0000435D"/>
    <w:rsid w:val="00004556"/>
    <w:rsid w:val="00004F08"/>
    <w:rsid w:val="00005084"/>
    <w:rsid w:val="00005886"/>
    <w:rsid w:val="00005A4C"/>
    <w:rsid w:val="00005C60"/>
    <w:rsid w:val="000064DB"/>
    <w:rsid w:val="000069A3"/>
    <w:rsid w:val="000069B8"/>
    <w:rsid w:val="00006E84"/>
    <w:rsid w:val="0000725B"/>
    <w:rsid w:val="000075B8"/>
    <w:rsid w:val="00007634"/>
    <w:rsid w:val="000076E3"/>
    <w:rsid w:val="00007A0A"/>
    <w:rsid w:val="00007D78"/>
    <w:rsid w:val="00007E12"/>
    <w:rsid w:val="0001002D"/>
    <w:rsid w:val="00010050"/>
    <w:rsid w:val="00010BB6"/>
    <w:rsid w:val="00010EC4"/>
    <w:rsid w:val="0001108F"/>
    <w:rsid w:val="00012A1C"/>
    <w:rsid w:val="00012C39"/>
    <w:rsid w:val="00012D86"/>
    <w:rsid w:val="000131CA"/>
    <w:rsid w:val="0001391F"/>
    <w:rsid w:val="00013A5F"/>
    <w:rsid w:val="00013B75"/>
    <w:rsid w:val="00013D5E"/>
    <w:rsid w:val="00014381"/>
    <w:rsid w:val="000146AA"/>
    <w:rsid w:val="00014B7F"/>
    <w:rsid w:val="00014BE8"/>
    <w:rsid w:val="00014D71"/>
    <w:rsid w:val="000157E8"/>
    <w:rsid w:val="000158C5"/>
    <w:rsid w:val="00015BB4"/>
    <w:rsid w:val="00015BD5"/>
    <w:rsid w:val="00016788"/>
    <w:rsid w:val="00016AEE"/>
    <w:rsid w:val="00016B86"/>
    <w:rsid w:val="000203EE"/>
    <w:rsid w:val="000207C0"/>
    <w:rsid w:val="00020AB9"/>
    <w:rsid w:val="00020E72"/>
    <w:rsid w:val="00020F48"/>
    <w:rsid w:val="00020FEE"/>
    <w:rsid w:val="00021099"/>
    <w:rsid w:val="00021154"/>
    <w:rsid w:val="000211CC"/>
    <w:rsid w:val="000214BE"/>
    <w:rsid w:val="0002176B"/>
    <w:rsid w:val="00021AA3"/>
    <w:rsid w:val="00021D33"/>
    <w:rsid w:val="00021D99"/>
    <w:rsid w:val="0002236A"/>
    <w:rsid w:val="00022409"/>
    <w:rsid w:val="000224ED"/>
    <w:rsid w:val="000224F4"/>
    <w:rsid w:val="00022845"/>
    <w:rsid w:val="000236A7"/>
    <w:rsid w:val="00023745"/>
    <w:rsid w:val="0002384B"/>
    <w:rsid w:val="0002384D"/>
    <w:rsid w:val="0002515A"/>
    <w:rsid w:val="00025355"/>
    <w:rsid w:val="000257AF"/>
    <w:rsid w:val="00025D93"/>
    <w:rsid w:val="00025D98"/>
    <w:rsid w:val="0002632F"/>
    <w:rsid w:val="000268AE"/>
    <w:rsid w:val="000269B8"/>
    <w:rsid w:val="00026AD2"/>
    <w:rsid w:val="00026D4C"/>
    <w:rsid w:val="00026F1B"/>
    <w:rsid w:val="00027287"/>
    <w:rsid w:val="00027380"/>
    <w:rsid w:val="000274E3"/>
    <w:rsid w:val="00027E92"/>
    <w:rsid w:val="000302AE"/>
    <w:rsid w:val="0003099A"/>
    <w:rsid w:val="00030B40"/>
    <w:rsid w:val="00030CEB"/>
    <w:rsid w:val="0003126D"/>
    <w:rsid w:val="000312A3"/>
    <w:rsid w:val="0003164A"/>
    <w:rsid w:val="00031CA4"/>
    <w:rsid w:val="00031EB6"/>
    <w:rsid w:val="00032107"/>
    <w:rsid w:val="00032141"/>
    <w:rsid w:val="0003290F"/>
    <w:rsid w:val="00032C16"/>
    <w:rsid w:val="000331D9"/>
    <w:rsid w:val="0003328B"/>
    <w:rsid w:val="000332D3"/>
    <w:rsid w:val="0003335B"/>
    <w:rsid w:val="00033611"/>
    <w:rsid w:val="00033A0D"/>
    <w:rsid w:val="00034C00"/>
    <w:rsid w:val="00035347"/>
    <w:rsid w:val="00035437"/>
    <w:rsid w:val="00035608"/>
    <w:rsid w:val="00035760"/>
    <w:rsid w:val="00035839"/>
    <w:rsid w:val="00035ACC"/>
    <w:rsid w:val="00035DB1"/>
    <w:rsid w:val="0003621B"/>
    <w:rsid w:val="0003636F"/>
    <w:rsid w:val="0003648A"/>
    <w:rsid w:val="00036DCF"/>
    <w:rsid w:val="00036FF9"/>
    <w:rsid w:val="00037262"/>
    <w:rsid w:val="00037401"/>
    <w:rsid w:val="00037980"/>
    <w:rsid w:val="0004003F"/>
    <w:rsid w:val="00040384"/>
    <w:rsid w:val="00040B43"/>
    <w:rsid w:val="00040E77"/>
    <w:rsid w:val="00040ECE"/>
    <w:rsid w:val="00040F88"/>
    <w:rsid w:val="00041284"/>
    <w:rsid w:val="00041BB2"/>
    <w:rsid w:val="00041C62"/>
    <w:rsid w:val="0004282C"/>
    <w:rsid w:val="00042898"/>
    <w:rsid w:val="00042D42"/>
    <w:rsid w:val="00043289"/>
    <w:rsid w:val="00043513"/>
    <w:rsid w:val="000438F5"/>
    <w:rsid w:val="00043AB1"/>
    <w:rsid w:val="00044083"/>
    <w:rsid w:val="00044186"/>
    <w:rsid w:val="000441E8"/>
    <w:rsid w:val="0004491B"/>
    <w:rsid w:val="00045420"/>
    <w:rsid w:val="00045C9A"/>
    <w:rsid w:val="00046062"/>
    <w:rsid w:val="000461EE"/>
    <w:rsid w:val="00046226"/>
    <w:rsid w:val="0004638C"/>
    <w:rsid w:val="0004640E"/>
    <w:rsid w:val="0004647D"/>
    <w:rsid w:val="000466C6"/>
    <w:rsid w:val="000467CD"/>
    <w:rsid w:val="000467F5"/>
    <w:rsid w:val="0004721E"/>
    <w:rsid w:val="000475B4"/>
    <w:rsid w:val="0005054E"/>
    <w:rsid w:val="00050F7C"/>
    <w:rsid w:val="00051459"/>
    <w:rsid w:val="00051713"/>
    <w:rsid w:val="00051768"/>
    <w:rsid w:val="0005197D"/>
    <w:rsid w:val="00051AC8"/>
    <w:rsid w:val="00051E1E"/>
    <w:rsid w:val="000520C9"/>
    <w:rsid w:val="00052816"/>
    <w:rsid w:val="00052BE5"/>
    <w:rsid w:val="00052C51"/>
    <w:rsid w:val="00054C38"/>
    <w:rsid w:val="00054E2A"/>
    <w:rsid w:val="00055020"/>
    <w:rsid w:val="00055726"/>
    <w:rsid w:val="00055A51"/>
    <w:rsid w:val="00055F1C"/>
    <w:rsid w:val="00055F8C"/>
    <w:rsid w:val="00056DAE"/>
    <w:rsid w:val="00057308"/>
    <w:rsid w:val="00057753"/>
    <w:rsid w:val="000579B4"/>
    <w:rsid w:val="00060E31"/>
    <w:rsid w:val="0006102E"/>
    <w:rsid w:val="00061423"/>
    <w:rsid w:val="00061639"/>
    <w:rsid w:val="00061861"/>
    <w:rsid w:val="000635F0"/>
    <w:rsid w:val="00063AAC"/>
    <w:rsid w:val="0006402A"/>
    <w:rsid w:val="00064037"/>
    <w:rsid w:val="000640E1"/>
    <w:rsid w:val="00065038"/>
    <w:rsid w:val="00065127"/>
    <w:rsid w:val="00065178"/>
    <w:rsid w:val="000653DF"/>
    <w:rsid w:val="0006577A"/>
    <w:rsid w:val="00065E7C"/>
    <w:rsid w:val="000663BB"/>
    <w:rsid w:val="0006774F"/>
    <w:rsid w:val="000679B2"/>
    <w:rsid w:val="000679FE"/>
    <w:rsid w:val="00067DCC"/>
    <w:rsid w:val="00070453"/>
    <w:rsid w:val="00070B60"/>
    <w:rsid w:val="00070EA2"/>
    <w:rsid w:val="000711BF"/>
    <w:rsid w:val="00071211"/>
    <w:rsid w:val="00071214"/>
    <w:rsid w:val="000712C9"/>
    <w:rsid w:val="00071604"/>
    <w:rsid w:val="000718C3"/>
    <w:rsid w:val="00071E3E"/>
    <w:rsid w:val="00071EDD"/>
    <w:rsid w:val="000720D3"/>
    <w:rsid w:val="00072258"/>
    <w:rsid w:val="00072368"/>
    <w:rsid w:val="00072714"/>
    <w:rsid w:val="00072957"/>
    <w:rsid w:val="00072E9E"/>
    <w:rsid w:val="00074151"/>
    <w:rsid w:val="000745F2"/>
    <w:rsid w:val="00074F6E"/>
    <w:rsid w:val="00075AF6"/>
    <w:rsid w:val="0007628F"/>
    <w:rsid w:val="00076533"/>
    <w:rsid w:val="00076651"/>
    <w:rsid w:val="00076900"/>
    <w:rsid w:val="00076D47"/>
    <w:rsid w:val="0007761F"/>
    <w:rsid w:val="00077B0B"/>
    <w:rsid w:val="000818B3"/>
    <w:rsid w:val="00081B10"/>
    <w:rsid w:val="00081CFA"/>
    <w:rsid w:val="00082234"/>
    <w:rsid w:val="00082260"/>
    <w:rsid w:val="000823A3"/>
    <w:rsid w:val="00082EB0"/>
    <w:rsid w:val="00082ED4"/>
    <w:rsid w:val="0008332E"/>
    <w:rsid w:val="0008343C"/>
    <w:rsid w:val="00083529"/>
    <w:rsid w:val="00083913"/>
    <w:rsid w:val="00083C5B"/>
    <w:rsid w:val="00083F67"/>
    <w:rsid w:val="00083F6D"/>
    <w:rsid w:val="00084176"/>
    <w:rsid w:val="000843E5"/>
    <w:rsid w:val="00084797"/>
    <w:rsid w:val="00084865"/>
    <w:rsid w:val="00084B02"/>
    <w:rsid w:val="000852C6"/>
    <w:rsid w:val="00085315"/>
    <w:rsid w:val="00085554"/>
    <w:rsid w:val="000855E2"/>
    <w:rsid w:val="00085C55"/>
    <w:rsid w:val="00085CDF"/>
    <w:rsid w:val="0008642C"/>
    <w:rsid w:val="0008666E"/>
    <w:rsid w:val="000867E4"/>
    <w:rsid w:val="000871CB"/>
    <w:rsid w:val="00087311"/>
    <w:rsid w:val="0008746A"/>
    <w:rsid w:val="0008785F"/>
    <w:rsid w:val="0009001B"/>
    <w:rsid w:val="00090408"/>
    <w:rsid w:val="0009058B"/>
    <w:rsid w:val="00090B35"/>
    <w:rsid w:val="000911A2"/>
    <w:rsid w:val="0009136A"/>
    <w:rsid w:val="00091F50"/>
    <w:rsid w:val="000922D8"/>
    <w:rsid w:val="00092511"/>
    <w:rsid w:val="000929EF"/>
    <w:rsid w:val="00092CD9"/>
    <w:rsid w:val="00092D06"/>
    <w:rsid w:val="00092E71"/>
    <w:rsid w:val="000935B0"/>
    <w:rsid w:val="00093774"/>
    <w:rsid w:val="00094BB8"/>
    <w:rsid w:val="0009509D"/>
    <w:rsid w:val="00095465"/>
    <w:rsid w:val="000958D8"/>
    <w:rsid w:val="00095C71"/>
    <w:rsid w:val="00095CA9"/>
    <w:rsid w:val="00096022"/>
    <w:rsid w:val="000960EC"/>
    <w:rsid w:val="000961F4"/>
    <w:rsid w:val="00096603"/>
    <w:rsid w:val="00096916"/>
    <w:rsid w:val="00096EB9"/>
    <w:rsid w:val="000976D4"/>
    <w:rsid w:val="00097ECC"/>
    <w:rsid w:val="000A096F"/>
    <w:rsid w:val="000A0AAF"/>
    <w:rsid w:val="000A0AC7"/>
    <w:rsid w:val="000A0B8D"/>
    <w:rsid w:val="000A14B5"/>
    <w:rsid w:val="000A1FFE"/>
    <w:rsid w:val="000A2273"/>
    <w:rsid w:val="000A2549"/>
    <w:rsid w:val="000A2734"/>
    <w:rsid w:val="000A2855"/>
    <w:rsid w:val="000A2DBB"/>
    <w:rsid w:val="000A2E14"/>
    <w:rsid w:val="000A35C7"/>
    <w:rsid w:val="000A39F2"/>
    <w:rsid w:val="000A3C22"/>
    <w:rsid w:val="000A3DD4"/>
    <w:rsid w:val="000A55B4"/>
    <w:rsid w:val="000A57D1"/>
    <w:rsid w:val="000A5B0B"/>
    <w:rsid w:val="000A602C"/>
    <w:rsid w:val="000A6218"/>
    <w:rsid w:val="000A647E"/>
    <w:rsid w:val="000A6501"/>
    <w:rsid w:val="000A6667"/>
    <w:rsid w:val="000A67F3"/>
    <w:rsid w:val="000A6842"/>
    <w:rsid w:val="000A6871"/>
    <w:rsid w:val="000A6D95"/>
    <w:rsid w:val="000A7342"/>
    <w:rsid w:val="000A73FB"/>
    <w:rsid w:val="000A7EF3"/>
    <w:rsid w:val="000B0509"/>
    <w:rsid w:val="000B06B7"/>
    <w:rsid w:val="000B0C69"/>
    <w:rsid w:val="000B0E28"/>
    <w:rsid w:val="000B0E51"/>
    <w:rsid w:val="000B113B"/>
    <w:rsid w:val="000B1363"/>
    <w:rsid w:val="000B1F8F"/>
    <w:rsid w:val="000B208F"/>
    <w:rsid w:val="000B2122"/>
    <w:rsid w:val="000B26A0"/>
    <w:rsid w:val="000B28A4"/>
    <w:rsid w:val="000B2C7E"/>
    <w:rsid w:val="000B3B5D"/>
    <w:rsid w:val="000B3B6E"/>
    <w:rsid w:val="000B3EC4"/>
    <w:rsid w:val="000B4083"/>
    <w:rsid w:val="000B42AE"/>
    <w:rsid w:val="000B434B"/>
    <w:rsid w:val="000B4629"/>
    <w:rsid w:val="000B4FEC"/>
    <w:rsid w:val="000B5189"/>
    <w:rsid w:val="000B5970"/>
    <w:rsid w:val="000B5DE8"/>
    <w:rsid w:val="000B6782"/>
    <w:rsid w:val="000B68C6"/>
    <w:rsid w:val="000B70DD"/>
    <w:rsid w:val="000B7182"/>
    <w:rsid w:val="000B7279"/>
    <w:rsid w:val="000B746D"/>
    <w:rsid w:val="000B79A6"/>
    <w:rsid w:val="000C0E80"/>
    <w:rsid w:val="000C1D70"/>
    <w:rsid w:val="000C2741"/>
    <w:rsid w:val="000C2D96"/>
    <w:rsid w:val="000C2E6C"/>
    <w:rsid w:val="000C31AA"/>
    <w:rsid w:val="000C43FA"/>
    <w:rsid w:val="000C47A6"/>
    <w:rsid w:val="000C47C7"/>
    <w:rsid w:val="000C4A48"/>
    <w:rsid w:val="000C4B7B"/>
    <w:rsid w:val="000C4E9C"/>
    <w:rsid w:val="000C5618"/>
    <w:rsid w:val="000C563C"/>
    <w:rsid w:val="000C585E"/>
    <w:rsid w:val="000C6966"/>
    <w:rsid w:val="000C6BC2"/>
    <w:rsid w:val="000C6CA1"/>
    <w:rsid w:val="000C6CC2"/>
    <w:rsid w:val="000C6FDB"/>
    <w:rsid w:val="000C7495"/>
    <w:rsid w:val="000C749F"/>
    <w:rsid w:val="000C7667"/>
    <w:rsid w:val="000C7872"/>
    <w:rsid w:val="000C78F5"/>
    <w:rsid w:val="000C7BDC"/>
    <w:rsid w:val="000C7D48"/>
    <w:rsid w:val="000C7E64"/>
    <w:rsid w:val="000C7E95"/>
    <w:rsid w:val="000D061D"/>
    <w:rsid w:val="000D06D1"/>
    <w:rsid w:val="000D09F2"/>
    <w:rsid w:val="000D0F5F"/>
    <w:rsid w:val="000D11C2"/>
    <w:rsid w:val="000D1E5F"/>
    <w:rsid w:val="000D21B2"/>
    <w:rsid w:val="000D24CA"/>
    <w:rsid w:val="000D299E"/>
    <w:rsid w:val="000D29E7"/>
    <w:rsid w:val="000D2AD3"/>
    <w:rsid w:val="000D3679"/>
    <w:rsid w:val="000D3C00"/>
    <w:rsid w:val="000D3F7C"/>
    <w:rsid w:val="000D43A8"/>
    <w:rsid w:val="000D4925"/>
    <w:rsid w:val="000D546F"/>
    <w:rsid w:val="000D5AA2"/>
    <w:rsid w:val="000D6520"/>
    <w:rsid w:val="000D6B0C"/>
    <w:rsid w:val="000D6C9C"/>
    <w:rsid w:val="000D7150"/>
    <w:rsid w:val="000D757A"/>
    <w:rsid w:val="000D75D0"/>
    <w:rsid w:val="000D7F99"/>
    <w:rsid w:val="000E0E4C"/>
    <w:rsid w:val="000E1AAB"/>
    <w:rsid w:val="000E2A62"/>
    <w:rsid w:val="000E3A9A"/>
    <w:rsid w:val="000E3B12"/>
    <w:rsid w:val="000E3F02"/>
    <w:rsid w:val="000E421C"/>
    <w:rsid w:val="000E431F"/>
    <w:rsid w:val="000E4C7B"/>
    <w:rsid w:val="000E4F67"/>
    <w:rsid w:val="000E4FAD"/>
    <w:rsid w:val="000E5808"/>
    <w:rsid w:val="000E5A96"/>
    <w:rsid w:val="000E5FE0"/>
    <w:rsid w:val="000E6994"/>
    <w:rsid w:val="000E6C74"/>
    <w:rsid w:val="000E7871"/>
    <w:rsid w:val="000E79C6"/>
    <w:rsid w:val="000F074E"/>
    <w:rsid w:val="000F0D71"/>
    <w:rsid w:val="000F0F2A"/>
    <w:rsid w:val="000F0FA7"/>
    <w:rsid w:val="000F2389"/>
    <w:rsid w:val="000F2452"/>
    <w:rsid w:val="000F278A"/>
    <w:rsid w:val="000F2795"/>
    <w:rsid w:val="000F28D1"/>
    <w:rsid w:val="000F2EA6"/>
    <w:rsid w:val="000F31DB"/>
    <w:rsid w:val="000F3AE1"/>
    <w:rsid w:val="000F3F0C"/>
    <w:rsid w:val="000F3F20"/>
    <w:rsid w:val="000F40BF"/>
    <w:rsid w:val="000F4432"/>
    <w:rsid w:val="000F45FA"/>
    <w:rsid w:val="000F49F1"/>
    <w:rsid w:val="000F4F85"/>
    <w:rsid w:val="000F507C"/>
    <w:rsid w:val="000F518F"/>
    <w:rsid w:val="000F5808"/>
    <w:rsid w:val="000F669C"/>
    <w:rsid w:val="000F6C10"/>
    <w:rsid w:val="000F7828"/>
    <w:rsid w:val="000F7934"/>
    <w:rsid w:val="000F7C34"/>
    <w:rsid w:val="000F7CE5"/>
    <w:rsid w:val="000F7D90"/>
    <w:rsid w:val="000F7E31"/>
    <w:rsid w:val="000F7F12"/>
    <w:rsid w:val="001000E8"/>
    <w:rsid w:val="001007BA"/>
    <w:rsid w:val="001007DE"/>
    <w:rsid w:val="001007F3"/>
    <w:rsid w:val="00100E2F"/>
    <w:rsid w:val="001016BA"/>
    <w:rsid w:val="00101A18"/>
    <w:rsid w:val="00101C91"/>
    <w:rsid w:val="001028E2"/>
    <w:rsid w:val="00102E27"/>
    <w:rsid w:val="0010309B"/>
    <w:rsid w:val="00103489"/>
    <w:rsid w:val="0010373E"/>
    <w:rsid w:val="00103BF0"/>
    <w:rsid w:val="00103E20"/>
    <w:rsid w:val="00103FE8"/>
    <w:rsid w:val="001041F6"/>
    <w:rsid w:val="00104202"/>
    <w:rsid w:val="00104F79"/>
    <w:rsid w:val="0010546E"/>
    <w:rsid w:val="0010645B"/>
    <w:rsid w:val="00106871"/>
    <w:rsid w:val="0010715D"/>
    <w:rsid w:val="001076D7"/>
    <w:rsid w:val="00107D00"/>
    <w:rsid w:val="001108DB"/>
    <w:rsid w:val="00110EBC"/>
    <w:rsid w:val="00111183"/>
    <w:rsid w:val="001111E4"/>
    <w:rsid w:val="00111383"/>
    <w:rsid w:val="001113C1"/>
    <w:rsid w:val="0011283F"/>
    <w:rsid w:val="00112AFC"/>
    <w:rsid w:val="0011400E"/>
    <w:rsid w:val="00114153"/>
    <w:rsid w:val="001148C2"/>
    <w:rsid w:val="00114B1F"/>
    <w:rsid w:val="00115641"/>
    <w:rsid w:val="00115F33"/>
    <w:rsid w:val="00115FAD"/>
    <w:rsid w:val="001165C5"/>
    <w:rsid w:val="00116B17"/>
    <w:rsid w:val="001177AA"/>
    <w:rsid w:val="00117CCC"/>
    <w:rsid w:val="00117D6B"/>
    <w:rsid w:val="0012018F"/>
    <w:rsid w:val="001202A5"/>
    <w:rsid w:val="00120458"/>
    <w:rsid w:val="001204F6"/>
    <w:rsid w:val="00120729"/>
    <w:rsid w:val="0012085D"/>
    <w:rsid w:val="00120A49"/>
    <w:rsid w:val="00120D4D"/>
    <w:rsid w:val="00120D66"/>
    <w:rsid w:val="001213AE"/>
    <w:rsid w:val="00121A52"/>
    <w:rsid w:val="00122258"/>
    <w:rsid w:val="001228DD"/>
    <w:rsid w:val="0012393C"/>
    <w:rsid w:val="00123BD7"/>
    <w:rsid w:val="00123DC9"/>
    <w:rsid w:val="00123E99"/>
    <w:rsid w:val="00123EB5"/>
    <w:rsid w:val="00124D6B"/>
    <w:rsid w:val="00124DE0"/>
    <w:rsid w:val="00124EAB"/>
    <w:rsid w:val="00124EB6"/>
    <w:rsid w:val="0012542F"/>
    <w:rsid w:val="00125902"/>
    <w:rsid w:val="0012598A"/>
    <w:rsid w:val="00126B3A"/>
    <w:rsid w:val="00126C62"/>
    <w:rsid w:val="00127063"/>
    <w:rsid w:val="001271E7"/>
    <w:rsid w:val="00127695"/>
    <w:rsid w:val="00130AAB"/>
    <w:rsid w:val="00130D7D"/>
    <w:rsid w:val="00131368"/>
    <w:rsid w:val="00131610"/>
    <w:rsid w:val="0013212D"/>
    <w:rsid w:val="001328A9"/>
    <w:rsid w:val="0013294D"/>
    <w:rsid w:val="00132BB1"/>
    <w:rsid w:val="00132DE7"/>
    <w:rsid w:val="00132F3E"/>
    <w:rsid w:val="001330E0"/>
    <w:rsid w:val="001339F6"/>
    <w:rsid w:val="00133B19"/>
    <w:rsid w:val="00133BF6"/>
    <w:rsid w:val="00133C54"/>
    <w:rsid w:val="00133CA2"/>
    <w:rsid w:val="0013434B"/>
    <w:rsid w:val="001350CF"/>
    <w:rsid w:val="00135273"/>
    <w:rsid w:val="001358B9"/>
    <w:rsid w:val="00135FC0"/>
    <w:rsid w:val="00136228"/>
    <w:rsid w:val="00136C53"/>
    <w:rsid w:val="001372D0"/>
    <w:rsid w:val="001372FB"/>
    <w:rsid w:val="0013769F"/>
    <w:rsid w:val="00137DBD"/>
    <w:rsid w:val="001404C2"/>
    <w:rsid w:val="00140887"/>
    <w:rsid w:val="00140B29"/>
    <w:rsid w:val="00140E0D"/>
    <w:rsid w:val="00141384"/>
    <w:rsid w:val="00141615"/>
    <w:rsid w:val="00141651"/>
    <w:rsid w:val="00141748"/>
    <w:rsid w:val="00141CD5"/>
    <w:rsid w:val="001421BA"/>
    <w:rsid w:val="00142402"/>
    <w:rsid w:val="0014247D"/>
    <w:rsid w:val="00142523"/>
    <w:rsid w:val="00142CE2"/>
    <w:rsid w:val="00143162"/>
    <w:rsid w:val="00143734"/>
    <w:rsid w:val="00143DDB"/>
    <w:rsid w:val="00143F25"/>
    <w:rsid w:val="001441EB"/>
    <w:rsid w:val="00144535"/>
    <w:rsid w:val="001448E0"/>
    <w:rsid w:val="00144C97"/>
    <w:rsid w:val="00144DC2"/>
    <w:rsid w:val="001459E7"/>
    <w:rsid w:val="0014654F"/>
    <w:rsid w:val="00146598"/>
    <w:rsid w:val="00146AC9"/>
    <w:rsid w:val="00146CCA"/>
    <w:rsid w:val="00146F67"/>
    <w:rsid w:val="00147101"/>
    <w:rsid w:val="0014738D"/>
    <w:rsid w:val="0014780F"/>
    <w:rsid w:val="0015016B"/>
    <w:rsid w:val="00150269"/>
    <w:rsid w:val="0015138E"/>
    <w:rsid w:val="00151649"/>
    <w:rsid w:val="0015175D"/>
    <w:rsid w:val="00151DD7"/>
    <w:rsid w:val="00152211"/>
    <w:rsid w:val="00152B2F"/>
    <w:rsid w:val="00152EB1"/>
    <w:rsid w:val="00152FC8"/>
    <w:rsid w:val="00153269"/>
    <w:rsid w:val="00153363"/>
    <w:rsid w:val="001536D0"/>
    <w:rsid w:val="00153783"/>
    <w:rsid w:val="00153843"/>
    <w:rsid w:val="00153BDD"/>
    <w:rsid w:val="00153C57"/>
    <w:rsid w:val="00154131"/>
    <w:rsid w:val="001543CA"/>
    <w:rsid w:val="001545FC"/>
    <w:rsid w:val="0015461B"/>
    <w:rsid w:val="00154632"/>
    <w:rsid w:val="001546A3"/>
    <w:rsid w:val="00154CD0"/>
    <w:rsid w:val="0015520F"/>
    <w:rsid w:val="00155307"/>
    <w:rsid w:val="00155C19"/>
    <w:rsid w:val="001560EB"/>
    <w:rsid w:val="001561CF"/>
    <w:rsid w:val="001564D2"/>
    <w:rsid w:val="00156DE3"/>
    <w:rsid w:val="00157158"/>
    <w:rsid w:val="00157392"/>
    <w:rsid w:val="001577F1"/>
    <w:rsid w:val="00157B6D"/>
    <w:rsid w:val="00160672"/>
    <w:rsid w:val="001606F4"/>
    <w:rsid w:val="00161D65"/>
    <w:rsid w:val="00161E46"/>
    <w:rsid w:val="00161F28"/>
    <w:rsid w:val="001621AD"/>
    <w:rsid w:val="00162234"/>
    <w:rsid w:val="00162734"/>
    <w:rsid w:val="00162AA1"/>
    <w:rsid w:val="00162BA6"/>
    <w:rsid w:val="001639A9"/>
    <w:rsid w:val="00163B25"/>
    <w:rsid w:val="00163ECA"/>
    <w:rsid w:val="0016460B"/>
    <w:rsid w:val="001646DC"/>
    <w:rsid w:val="00165418"/>
    <w:rsid w:val="00165675"/>
    <w:rsid w:val="00165830"/>
    <w:rsid w:val="00165E43"/>
    <w:rsid w:val="001660F4"/>
    <w:rsid w:val="00166C34"/>
    <w:rsid w:val="00166D24"/>
    <w:rsid w:val="00167264"/>
    <w:rsid w:val="001674DD"/>
    <w:rsid w:val="00167751"/>
    <w:rsid w:val="00167A22"/>
    <w:rsid w:val="00171165"/>
    <w:rsid w:val="00171233"/>
    <w:rsid w:val="0017166F"/>
    <w:rsid w:val="00171CF4"/>
    <w:rsid w:val="00171E5F"/>
    <w:rsid w:val="00172046"/>
    <w:rsid w:val="001720AA"/>
    <w:rsid w:val="001721F9"/>
    <w:rsid w:val="00172490"/>
    <w:rsid w:val="00172C9C"/>
    <w:rsid w:val="00173A41"/>
    <w:rsid w:val="00173C59"/>
    <w:rsid w:val="00173C64"/>
    <w:rsid w:val="00174555"/>
    <w:rsid w:val="0017493F"/>
    <w:rsid w:val="00174A65"/>
    <w:rsid w:val="0017562F"/>
    <w:rsid w:val="00175646"/>
    <w:rsid w:val="00175B00"/>
    <w:rsid w:val="0017605F"/>
    <w:rsid w:val="001778F8"/>
    <w:rsid w:val="0017790F"/>
    <w:rsid w:val="00177A51"/>
    <w:rsid w:val="001803BF"/>
    <w:rsid w:val="001803E9"/>
    <w:rsid w:val="00180881"/>
    <w:rsid w:val="00181343"/>
    <w:rsid w:val="001815CD"/>
    <w:rsid w:val="00182514"/>
    <w:rsid w:val="00182EEC"/>
    <w:rsid w:val="001830CF"/>
    <w:rsid w:val="00183258"/>
    <w:rsid w:val="001834A8"/>
    <w:rsid w:val="001836D9"/>
    <w:rsid w:val="0018391B"/>
    <w:rsid w:val="00183D84"/>
    <w:rsid w:val="00184074"/>
    <w:rsid w:val="00184314"/>
    <w:rsid w:val="00184367"/>
    <w:rsid w:val="0018478C"/>
    <w:rsid w:val="00184C92"/>
    <w:rsid w:val="00184D0E"/>
    <w:rsid w:val="00184ED9"/>
    <w:rsid w:val="00185231"/>
    <w:rsid w:val="001853FC"/>
    <w:rsid w:val="00185A16"/>
    <w:rsid w:val="00185BC7"/>
    <w:rsid w:val="00185C88"/>
    <w:rsid w:val="00185CDF"/>
    <w:rsid w:val="0018603F"/>
    <w:rsid w:val="00186086"/>
    <w:rsid w:val="00186551"/>
    <w:rsid w:val="00186965"/>
    <w:rsid w:val="00186D17"/>
    <w:rsid w:val="00186E61"/>
    <w:rsid w:val="00187591"/>
    <w:rsid w:val="001875EF"/>
    <w:rsid w:val="00187758"/>
    <w:rsid w:val="00187CB0"/>
    <w:rsid w:val="00190739"/>
    <w:rsid w:val="00190B8B"/>
    <w:rsid w:val="00190DEC"/>
    <w:rsid w:val="00191743"/>
    <w:rsid w:val="00191F80"/>
    <w:rsid w:val="00192049"/>
    <w:rsid w:val="001921F6"/>
    <w:rsid w:val="001928F9"/>
    <w:rsid w:val="00193154"/>
    <w:rsid w:val="0019478B"/>
    <w:rsid w:val="00194832"/>
    <w:rsid w:val="00194F6C"/>
    <w:rsid w:val="001959F0"/>
    <w:rsid w:val="00195D63"/>
    <w:rsid w:val="0019660C"/>
    <w:rsid w:val="00196912"/>
    <w:rsid w:val="0019738B"/>
    <w:rsid w:val="0019783D"/>
    <w:rsid w:val="001A04AD"/>
    <w:rsid w:val="001A07D2"/>
    <w:rsid w:val="001A0A92"/>
    <w:rsid w:val="001A10D5"/>
    <w:rsid w:val="001A17CB"/>
    <w:rsid w:val="001A22BB"/>
    <w:rsid w:val="001A2734"/>
    <w:rsid w:val="001A277A"/>
    <w:rsid w:val="001A2AA6"/>
    <w:rsid w:val="001A2E61"/>
    <w:rsid w:val="001A3209"/>
    <w:rsid w:val="001A357E"/>
    <w:rsid w:val="001A35ED"/>
    <w:rsid w:val="001A4B9E"/>
    <w:rsid w:val="001A4FF5"/>
    <w:rsid w:val="001A5026"/>
    <w:rsid w:val="001A5943"/>
    <w:rsid w:val="001A597E"/>
    <w:rsid w:val="001A5AAC"/>
    <w:rsid w:val="001A66D2"/>
    <w:rsid w:val="001A7639"/>
    <w:rsid w:val="001A7D54"/>
    <w:rsid w:val="001B03B8"/>
    <w:rsid w:val="001B109E"/>
    <w:rsid w:val="001B10F5"/>
    <w:rsid w:val="001B131E"/>
    <w:rsid w:val="001B14B1"/>
    <w:rsid w:val="001B18DC"/>
    <w:rsid w:val="001B288A"/>
    <w:rsid w:val="001B34F9"/>
    <w:rsid w:val="001B36AA"/>
    <w:rsid w:val="001B36AD"/>
    <w:rsid w:val="001B3B3A"/>
    <w:rsid w:val="001B3C10"/>
    <w:rsid w:val="001B3FAD"/>
    <w:rsid w:val="001B4033"/>
    <w:rsid w:val="001B45B8"/>
    <w:rsid w:val="001B50B0"/>
    <w:rsid w:val="001B545C"/>
    <w:rsid w:val="001B5A51"/>
    <w:rsid w:val="001B5A8E"/>
    <w:rsid w:val="001B5CB7"/>
    <w:rsid w:val="001B6787"/>
    <w:rsid w:val="001B6C58"/>
    <w:rsid w:val="001B6EF1"/>
    <w:rsid w:val="001B710C"/>
    <w:rsid w:val="001B7268"/>
    <w:rsid w:val="001B741E"/>
    <w:rsid w:val="001B7661"/>
    <w:rsid w:val="001B7D4F"/>
    <w:rsid w:val="001B7D87"/>
    <w:rsid w:val="001C05B8"/>
    <w:rsid w:val="001C11CF"/>
    <w:rsid w:val="001C14BD"/>
    <w:rsid w:val="001C14CA"/>
    <w:rsid w:val="001C1580"/>
    <w:rsid w:val="001C1942"/>
    <w:rsid w:val="001C1DEC"/>
    <w:rsid w:val="001C2378"/>
    <w:rsid w:val="001C2D46"/>
    <w:rsid w:val="001C372C"/>
    <w:rsid w:val="001C37DC"/>
    <w:rsid w:val="001C38A7"/>
    <w:rsid w:val="001C3AAF"/>
    <w:rsid w:val="001C4139"/>
    <w:rsid w:val="001C4488"/>
    <w:rsid w:val="001C4E64"/>
    <w:rsid w:val="001C51D6"/>
    <w:rsid w:val="001C6766"/>
    <w:rsid w:val="001C6CF2"/>
    <w:rsid w:val="001C7265"/>
    <w:rsid w:val="001C77D1"/>
    <w:rsid w:val="001C7D92"/>
    <w:rsid w:val="001D0593"/>
    <w:rsid w:val="001D0C49"/>
    <w:rsid w:val="001D0E9D"/>
    <w:rsid w:val="001D1516"/>
    <w:rsid w:val="001D16EF"/>
    <w:rsid w:val="001D2389"/>
    <w:rsid w:val="001D2C21"/>
    <w:rsid w:val="001D338E"/>
    <w:rsid w:val="001D345D"/>
    <w:rsid w:val="001D34C1"/>
    <w:rsid w:val="001D37DF"/>
    <w:rsid w:val="001D3BBD"/>
    <w:rsid w:val="001D451D"/>
    <w:rsid w:val="001D4718"/>
    <w:rsid w:val="001D4AAA"/>
    <w:rsid w:val="001D513C"/>
    <w:rsid w:val="001D5A3D"/>
    <w:rsid w:val="001D6E4D"/>
    <w:rsid w:val="001D7768"/>
    <w:rsid w:val="001D7C9D"/>
    <w:rsid w:val="001D7E68"/>
    <w:rsid w:val="001E05B1"/>
    <w:rsid w:val="001E157A"/>
    <w:rsid w:val="001E170B"/>
    <w:rsid w:val="001E1EE8"/>
    <w:rsid w:val="001E1F61"/>
    <w:rsid w:val="001E26E2"/>
    <w:rsid w:val="001E28A1"/>
    <w:rsid w:val="001E29C7"/>
    <w:rsid w:val="001E2C9E"/>
    <w:rsid w:val="001E30C7"/>
    <w:rsid w:val="001E33D2"/>
    <w:rsid w:val="001E3705"/>
    <w:rsid w:val="001E394D"/>
    <w:rsid w:val="001E3F02"/>
    <w:rsid w:val="001E41FA"/>
    <w:rsid w:val="001E461E"/>
    <w:rsid w:val="001E4CBB"/>
    <w:rsid w:val="001E54D0"/>
    <w:rsid w:val="001E560E"/>
    <w:rsid w:val="001E5AA8"/>
    <w:rsid w:val="001E5AE6"/>
    <w:rsid w:val="001E5C6C"/>
    <w:rsid w:val="001E617E"/>
    <w:rsid w:val="001E6927"/>
    <w:rsid w:val="001E6AFF"/>
    <w:rsid w:val="001E6E8C"/>
    <w:rsid w:val="001E70F4"/>
    <w:rsid w:val="001E74A1"/>
    <w:rsid w:val="001F0054"/>
    <w:rsid w:val="001F0692"/>
    <w:rsid w:val="001F0B88"/>
    <w:rsid w:val="001F0DF2"/>
    <w:rsid w:val="001F1578"/>
    <w:rsid w:val="001F17AB"/>
    <w:rsid w:val="001F20B8"/>
    <w:rsid w:val="001F2952"/>
    <w:rsid w:val="001F2A08"/>
    <w:rsid w:val="001F2C98"/>
    <w:rsid w:val="001F3A8A"/>
    <w:rsid w:val="001F3B2A"/>
    <w:rsid w:val="001F3ECB"/>
    <w:rsid w:val="001F433B"/>
    <w:rsid w:val="001F44F5"/>
    <w:rsid w:val="001F46E3"/>
    <w:rsid w:val="001F4AA8"/>
    <w:rsid w:val="001F4E6E"/>
    <w:rsid w:val="001F54E3"/>
    <w:rsid w:val="001F5647"/>
    <w:rsid w:val="001F601E"/>
    <w:rsid w:val="001F6516"/>
    <w:rsid w:val="001F6BDC"/>
    <w:rsid w:val="001F6D29"/>
    <w:rsid w:val="001F73E7"/>
    <w:rsid w:val="002001FF"/>
    <w:rsid w:val="00200BA8"/>
    <w:rsid w:val="0020142C"/>
    <w:rsid w:val="00201752"/>
    <w:rsid w:val="00201A73"/>
    <w:rsid w:val="00201DDF"/>
    <w:rsid w:val="00201FD8"/>
    <w:rsid w:val="00202255"/>
    <w:rsid w:val="00202A1B"/>
    <w:rsid w:val="00202C17"/>
    <w:rsid w:val="00202D91"/>
    <w:rsid w:val="00202FB2"/>
    <w:rsid w:val="002039A8"/>
    <w:rsid w:val="0020409B"/>
    <w:rsid w:val="00204648"/>
    <w:rsid w:val="002049EC"/>
    <w:rsid w:val="00204BF4"/>
    <w:rsid w:val="00204E0C"/>
    <w:rsid w:val="0020512D"/>
    <w:rsid w:val="00205458"/>
    <w:rsid w:val="002055B6"/>
    <w:rsid w:val="0020578F"/>
    <w:rsid w:val="00205801"/>
    <w:rsid w:val="002058ED"/>
    <w:rsid w:val="00205966"/>
    <w:rsid w:val="00205B0A"/>
    <w:rsid w:val="0020609D"/>
    <w:rsid w:val="0020623F"/>
    <w:rsid w:val="002067EF"/>
    <w:rsid w:val="00206B61"/>
    <w:rsid w:val="00207F9A"/>
    <w:rsid w:val="00210057"/>
    <w:rsid w:val="002103F3"/>
    <w:rsid w:val="00210707"/>
    <w:rsid w:val="00210C1E"/>
    <w:rsid w:val="002114C6"/>
    <w:rsid w:val="0021161B"/>
    <w:rsid w:val="002121B9"/>
    <w:rsid w:val="00212C23"/>
    <w:rsid w:val="00212D5F"/>
    <w:rsid w:val="00213261"/>
    <w:rsid w:val="00213460"/>
    <w:rsid w:val="002135C4"/>
    <w:rsid w:val="0021366A"/>
    <w:rsid w:val="00213E66"/>
    <w:rsid w:val="002141CA"/>
    <w:rsid w:val="00214217"/>
    <w:rsid w:val="0021454D"/>
    <w:rsid w:val="00214A0E"/>
    <w:rsid w:val="00214D76"/>
    <w:rsid w:val="00214EF5"/>
    <w:rsid w:val="002151B1"/>
    <w:rsid w:val="00215EFA"/>
    <w:rsid w:val="00216403"/>
    <w:rsid w:val="0021646B"/>
    <w:rsid w:val="00216843"/>
    <w:rsid w:val="00216989"/>
    <w:rsid w:val="00217170"/>
    <w:rsid w:val="00217478"/>
    <w:rsid w:val="002178DF"/>
    <w:rsid w:val="00217AF1"/>
    <w:rsid w:val="0022030F"/>
    <w:rsid w:val="0022074E"/>
    <w:rsid w:val="0022096D"/>
    <w:rsid w:val="00220AB5"/>
    <w:rsid w:val="0022132D"/>
    <w:rsid w:val="00221DFA"/>
    <w:rsid w:val="00221F36"/>
    <w:rsid w:val="0022216C"/>
    <w:rsid w:val="002223CE"/>
    <w:rsid w:val="00222BA2"/>
    <w:rsid w:val="002233D7"/>
    <w:rsid w:val="0022340A"/>
    <w:rsid w:val="00223650"/>
    <w:rsid w:val="002237A2"/>
    <w:rsid w:val="00223C81"/>
    <w:rsid w:val="00223D93"/>
    <w:rsid w:val="002247E3"/>
    <w:rsid w:val="00224B35"/>
    <w:rsid w:val="00224FAA"/>
    <w:rsid w:val="002263F9"/>
    <w:rsid w:val="00226421"/>
    <w:rsid w:val="002264AC"/>
    <w:rsid w:val="002266B4"/>
    <w:rsid w:val="00226950"/>
    <w:rsid w:val="00226A04"/>
    <w:rsid w:val="00226D0A"/>
    <w:rsid w:val="00227390"/>
    <w:rsid w:val="002273C9"/>
    <w:rsid w:val="00227779"/>
    <w:rsid w:val="002278EF"/>
    <w:rsid w:val="00227B6F"/>
    <w:rsid w:val="0023011E"/>
    <w:rsid w:val="002304ED"/>
    <w:rsid w:val="00230955"/>
    <w:rsid w:val="00230A10"/>
    <w:rsid w:val="00230C4C"/>
    <w:rsid w:val="002318A8"/>
    <w:rsid w:val="00231ACB"/>
    <w:rsid w:val="002325E1"/>
    <w:rsid w:val="002327AD"/>
    <w:rsid w:val="00233353"/>
    <w:rsid w:val="0023368C"/>
    <w:rsid w:val="00233B91"/>
    <w:rsid w:val="00233FA8"/>
    <w:rsid w:val="002343CD"/>
    <w:rsid w:val="002345E0"/>
    <w:rsid w:val="00234950"/>
    <w:rsid w:val="00234B2B"/>
    <w:rsid w:val="00234E80"/>
    <w:rsid w:val="00235353"/>
    <w:rsid w:val="00235AC8"/>
    <w:rsid w:val="002364AB"/>
    <w:rsid w:val="0023675B"/>
    <w:rsid w:val="00236C9A"/>
    <w:rsid w:val="002377A8"/>
    <w:rsid w:val="00237CAB"/>
    <w:rsid w:val="00237CE4"/>
    <w:rsid w:val="002412EE"/>
    <w:rsid w:val="00241FFB"/>
    <w:rsid w:val="0024208D"/>
    <w:rsid w:val="00242152"/>
    <w:rsid w:val="002426EB"/>
    <w:rsid w:val="002428C5"/>
    <w:rsid w:val="0024297F"/>
    <w:rsid w:val="002432C7"/>
    <w:rsid w:val="002436A2"/>
    <w:rsid w:val="0024371B"/>
    <w:rsid w:val="00243AEB"/>
    <w:rsid w:val="00244553"/>
    <w:rsid w:val="00244690"/>
    <w:rsid w:val="0024498A"/>
    <w:rsid w:val="00244AFE"/>
    <w:rsid w:val="00244C19"/>
    <w:rsid w:val="00244CE2"/>
    <w:rsid w:val="00244E72"/>
    <w:rsid w:val="002454B8"/>
    <w:rsid w:val="002454E7"/>
    <w:rsid w:val="00245626"/>
    <w:rsid w:val="0024562A"/>
    <w:rsid w:val="00245788"/>
    <w:rsid w:val="00245908"/>
    <w:rsid w:val="002459EE"/>
    <w:rsid w:val="00245B7B"/>
    <w:rsid w:val="00245F8B"/>
    <w:rsid w:val="00246267"/>
    <w:rsid w:val="002463CC"/>
    <w:rsid w:val="00246514"/>
    <w:rsid w:val="0024653F"/>
    <w:rsid w:val="002465D2"/>
    <w:rsid w:val="00246B83"/>
    <w:rsid w:val="00246E9D"/>
    <w:rsid w:val="0024794D"/>
    <w:rsid w:val="00247E05"/>
    <w:rsid w:val="00247FB2"/>
    <w:rsid w:val="00250011"/>
    <w:rsid w:val="0025062F"/>
    <w:rsid w:val="002507DC"/>
    <w:rsid w:val="002507DE"/>
    <w:rsid w:val="00250A31"/>
    <w:rsid w:val="00251022"/>
    <w:rsid w:val="0025167A"/>
    <w:rsid w:val="0025238A"/>
    <w:rsid w:val="002524D6"/>
    <w:rsid w:val="00252AF8"/>
    <w:rsid w:val="00253820"/>
    <w:rsid w:val="00253D6A"/>
    <w:rsid w:val="0025418F"/>
    <w:rsid w:val="00254C3B"/>
    <w:rsid w:val="00254E56"/>
    <w:rsid w:val="00254FFA"/>
    <w:rsid w:val="00255000"/>
    <w:rsid w:val="002552D2"/>
    <w:rsid w:val="00255402"/>
    <w:rsid w:val="00255C79"/>
    <w:rsid w:val="002569C3"/>
    <w:rsid w:val="00256D44"/>
    <w:rsid w:val="0025766C"/>
    <w:rsid w:val="00257AC0"/>
    <w:rsid w:val="00257ACB"/>
    <w:rsid w:val="00257B40"/>
    <w:rsid w:val="00257B41"/>
    <w:rsid w:val="00257BF8"/>
    <w:rsid w:val="00257CD6"/>
    <w:rsid w:val="00257E3A"/>
    <w:rsid w:val="00257E9B"/>
    <w:rsid w:val="00260FBF"/>
    <w:rsid w:val="00261371"/>
    <w:rsid w:val="00261527"/>
    <w:rsid w:val="002615DE"/>
    <w:rsid w:val="00262204"/>
    <w:rsid w:val="00262E0F"/>
    <w:rsid w:val="0026345F"/>
    <w:rsid w:val="00263976"/>
    <w:rsid w:val="00263AB4"/>
    <w:rsid w:val="00263F5F"/>
    <w:rsid w:val="00263F64"/>
    <w:rsid w:val="0026420A"/>
    <w:rsid w:val="00264510"/>
    <w:rsid w:val="00264E46"/>
    <w:rsid w:val="00265526"/>
    <w:rsid w:val="002656B7"/>
    <w:rsid w:val="00265A65"/>
    <w:rsid w:val="00265DAA"/>
    <w:rsid w:val="0026653E"/>
    <w:rsid w:val="002667CC"/>
    <w:rsid w:val="00267360"/>
    <w:rsid w:val="002677E1"/>
    <w:rsid w:val="00267C13"/>
    <w:rsid w:val="002701FD"/>
    <w:rsid w:val="0027022B"/>
    <w:rsid w:val="002705C9"/>
    <w:rsid w:val="00270709"/>
    <w:rsid w:val="002707F2"/>
    <w:rsid w:val="00270CB0"/>
    <w:rsid w:val="002711DC"/>
    <w:rsid w:val="002719E4"/>
    <w:rsid w:val="00272868"/>
    <w:rsid w:val="00272C9A"/>
    <w:rsid w:val="00272F43"/>
    <w:rsid w:val="002730ED"/>
    <w:rsid w:val="002733F9"/>
    <w:rsid w:val="0027389B"/>
    <w:rsid w:val="002743F6"/>
    <w:rsid w:val="002745B6"/>
    <w:rsid w:val="00274D1B"/>
    <w:rsid w:val="00274F86"/>
    <w:rsid w:val="0027508E"/>
    <w:rsid w:val="0027523B"/>
    <w:rsid w:val="00275490"/>
    <w:rsid w:val="002756E4"/>
    <w:rsid w:val="00275B7D"/>
    <w:rsid w:val="00275EEC"/>
    <w:rsid w:val="002769C0"/>
    <w:rsid w:val="00276F66"/>
    <w:rsid w:val="002775BB"/>
    <w:rsid w:val="00277DA2"/>
    <w:rsid w:val="00277E36"/>
    <w:rsid w:val="0028038E"/>
    <w:rsid w:val="002806D8"/>
    <w:rsid w:val="0028088D"/>
    <w:rsid w:val="00280FA2"/>
    <w:rsid w:val="00281084"/>
    <w:rsid w:val="0028187C"/>
    <w:rsid w:val="00281A20"/>
    <w:rsid w:val="00281BB0"/>
    <w:rsid w:val="00282A11"/>
    <w:rsid w:val="0028313E"/>
    <w:rsid w:val="0028333C"/>
    <w:rsid w:val="00283A74"/>
    <w:rsid w:val="00283DA7"/>
    <w:rsid w:val="00283E37"/>
    <w:rsid w:val="00284634"/>
    <w:rsid w:val="00284722"/>
    <w:rsid w:val="00284926"/>
    <w:rsid w:val="00284D16"/>
    <w:rsid w:val="00285215"/>
    <w:rsid w:val="002857EC"/>
    <w:rsid w:val="00285C60"/>
    <w:rsid w:val="00285D1E"/>
    <w:rsid w:val="00285F3B"/>
    <w:rsid w:val="002860E2"/>
    <w:rsid w:val="0028653C"/>
    <w:rsid w:val="00286C5B"/>
    <w:rsid w:val="0028701C"/>
    <w:rsid w:val="0028714B"/>
    <w:rsid w:val="00287573"/>
    <w:rsid w:val="0028765D"/>
    <w:rsid w:val="00287972"/>
    <w:rsid w:val="00287A33"/>
    <w:rsid w:val="00287E1D"/>
    <w:rsid w:val="002900FC"/>
    <w:rsid w:val="002909B7"/>
    <w:rsid w:val="00290A09"/>
    <w:rsid w:val="00290E3C"/>
    <w:rsid w:val="00290E5C"/>
    <w:rsid w:val="00290FAB"/>
    <w:rsid w:val="00291700"/>
    <w:rsid w:val="00291768"/>
    <w:rsid w:val="00292A6F"/>
    <w:rsid w:val="00292BA3"/>
    <w:rsid w:val="00293829"/>
    <w:rsid w:val="00293A16"/>
    <w:rsid w:val="00293A35"/>
    <w:rsid w:val="002940C7"/>
    <w:rsid w:val="00294581"/>
    <w:rsid w:val="00294D8F"/>
    <w:rsid w:val="002955AD"/>
    <w:rsid w:val="00295703"/>
    <w:rsid w:val="002957D7"/>
    <w:rsid w:val="00295895"/>
    <w:rsid w:val="0029595B"/>
    <w:rsid w:val="00295CEC"/>
    <w:rsid w:val="002960BF"/>
    <w:rsid w:val="00296503"/>
    <w:rsid w:val="002968F2"/>
    <w:rsid w:val="00296CDA"/>
    <w:rsid w:val="00297167"/>
    <w:rsid w:val="00297292"/>
    <w:rsid w:val="002972D3"/>
    <w:rsid w:val="0029763D"/>
    <w:rsid w:val="00297806"/>
    <w:rsid w:val="00297B6E"/>
    <w:rsid w:val="00297C11"/>
    <w:rsid w:val="002A00F9"/>
    <w:rsid w:val="002A014F"/>
    <w:rsid w:val="002A0D9E"/>
    <w:rsid w:val="002A1120"/>
    <w:rsid w:val="002A1EDE"/>
    <w:rsid w:val="002A252B"/>
    <w:rsid w:val="002A25B4"/>
    <w:rsid w:val="002A2AE0"/>
    <w:rsid w:val="002A3311"/>
    <w:rsid w:val="002A3445"/>
    <w:rsid w:val="002A36A6"/>
    <w:rsid w:val="002A39CA"/>
    <w:rsid w:val="002A3AE8"/>
    <w:rsid w:val="002A43A0"/>
    <w:rsid w:val="002A4E4A"/>
    <w:rsid w:val="002A503A"/>
    <w:rsid w:val="002A50C2"/>
    <w:rsid w:val="002A555D"/>
    <w:rsid w:val="002A606F"/>
    <w:rsid w:val="002A60F2"/>
    <w:rsid w:val="002A65EA"/>
    <w:rsid w:val="002A6F12"/>
    <w:rsid w:val="002A7493"/>
    <w:rsid w:val="002A7AEE"/>
    <w:rsid w:val="002A7DE6"/>
    <w:rsid w:val="002A7FF8"/>
    <w:rsid w:val="002B0191"/>
    <w:rsid w:val="002B0452"/>
    <w:rsid w:val="002B0981"/>
    <w:rsid w:val="002B122A"/>
    <w:rsid w:val="002B175A"/>
    <w:rsid w:val="002B2383"/>
    <w:rsid w:val="002B2A63"/>
    <w:rsid w:val="002B2E05"/>
    <w:rsid w:val="002B2F9C"/>
    <w:rsid w:val="002B3791"/>
    <w:rsid w:val="002B39D1"/>
    <w:rsid w:val="002B476D"/>
    <w:rsid w:val="002B4E41"/>
    <w:rsid w:val="002B53B1"/>
    <w:rsid w:val="002B5622"/>
    <w:rsid w:val="002B571D"/>
    <w:rsid w:val="002B5A2F"/>
    <w:rsid w:val="002B5A95"/>
    <w:rsid w:val="002B63DC"/>
    <w:rsid w:val="002B6813"/>
    <w:rsid w:val="002B6EDA"/>
    <w:rsid w:val="002B7BBB"/>
    <w:rsid w:val="002B7C6A"/>
    <w:rsid w:val="002C014A"/>
    <w:rsid w:val="002C10E2"/>
    <w:rsid w:val="002C1569"/>
    <w:rsid w:val="002C1B83"/>
    <w:rsid w:val="002C1C0C"/>
    <w:rsid w:val="002C238E"/>
    <w:rsid w:val="002C2BC5"/>
    <w:rsid w:val="002C2C1B"/>
    <w:rsid w:val="002C360F"/>
    <w:rsid w:val="002C4D1E"/>
    <w:rsid w:val="002C4EAA"/>
    <w:rsid w:val="002C50ED"/>
    <w:rsid w:val="002C50F1"/>
    <w:rsid w:val="002C522D"/>
    <w:rsid w:val="002C52DE"/>
    <w:rsid w:val="002C5740"/>
    <w:rsid w:val="002C5FD9"/>
    <w:rsid w:val="002C65B5"/>
    <w:rsid w:val="002C6660"/>
    <w:rsid w:val="002C66BF"/>
    <w:rsid w:val="002C66EE"/>
    <w:rsid w:val="002C69BF"/>
    <w:rsid w:val="002C6A09"/>
    <w:rsid w:val="002C6A67"/>
    <w:rsid w:val="002C6AE0"/>
    <w:rsid w:val="002C6C72"/>
    <w:rsid w:val="002C773E"/>
    <w:rsid w:val="002C7F14"/>
    <w:rsid w:val="002D087A"/>
    <w:rsid w:val="002D09D9"/>
    <w:rsid w:val="002D0B6E"/>
    <w:rsid w:val="002D1284"/>
    <w:rsid w:val="002D12FA"/>
    <w:rsid w:val="002D1691"/>
    <w:rsid w:val="002D180A"/>
    <w:rsid w:val="002D1A53"/>
    <w:rsid w:val="002D1DD6"/>
    <w:rsid w:val="002D2732"/>
    <w:rsid w:val="002D36A1"/>
    <w:rsid w:val="002D3A4E"/>
    <w:rsid w:val="002D3FDB"/>
    <w:rsid w:val="002D514B"/>
    <w:rsid w:val="002D52F4"/>
    <w:rsid w:val="002D5472"/>
    <w:rsid w:val="002D54DF"/>
    <w:rsid w:val="002D59CF"/>
    <w:rsid w:val="002D5C6B"/>
    <w:rsid w:val="002D5DEA"/>
    <w:rsid w:val="002D6424"/>
    <w:rsid w:val="002D6476"/>
    <w:rsid w:val="002D7195"/>
    <w:rsid w:val="002D7572"/>
    <w:rsid w:val="002D7C12"/>
    <w:rsid w:val="002E031D"/>
    <w:rsid w:val="002E057F"/>
    <w:rsid w:val="002E0857"/>
    <w:rsid w:val="002E0F2E"/>
    <w:rsid w:val="002E10B5"/>
    <w:rsid w:val="002E142A"/>
    <w:rsid w:val="002E1451"/>
    <w:rsid w:val="002E1708"/>
    <w:rsid w:val="002E1723"/>
    <w:rsid w:val="002E17D0"/>
    <w:rsid w:val="002E1DF4"/>
    <w:rsid w:val="002E2C5E"/>
    <w:rsid w:val="002E30C6"/>
    <w:rsid w:val="002E34DD"/>
    <w:rsid w:val="002E3B72"/>
    <w:rsid w:val="002E4362"/>
    <w:rsid w:val="002E440B"/>
    <w:rsid w:val="002E45B9"/>
    <w:rsid w:val="002E4870"/>
    <w:rsid w:val="002E4E41"/>
    <w:rsid w:val="002E4EB8"/>
    <w:rsid w:val="002E5BDD"/>
    <w:rsid w:val="002E5C6E"/>
    <w:rsid w:val="002E6005"/>
    <w:rsid w:val="002E62C5"/>
    <w:rsid w:val="002E6345"/>
    <w:rsid w:val="002E68E7"/>
    <w:rsid w:val="002E6A68"/>
    <w:rsid w:val="002E6D52"/>
    <w:rsid w:val="002E71E2"/>
    <w:rsid w:val="002E730F"/>
    <w:rsid w:val="002E74F7"/>
    <w:rsid w:val="002E7C67"/>
    <w:rsid w:val="002E7FF5"/>
    <w:rsid w:val="002F00E4"/>
    <w:rsid w:val="002F018B"/>
    <w:rsid w:val="002F0458"/>
    <w:rsid w:val="002F0F78"/>
    <w:rsid w:val="002F1DFF"/>
    <w:rsid w:val="002F1EDA"/>
    <w:rsid w:val="002F1F0F"/>
    <w:rsid w:val="002F2004"/>
    <w:rsid w:val="002F225B"/>
    <w:rsid w:val="002F2390"/>
    <w:rsid w:val="002F24BD"/>
    <w:rsid w:val="002F276B"/>
    <w:rsid w:val="002F27FF"/>
    <w:rsid w:val="002F291E"/>
    <w:rsid w:val="002F2BF2"/>
    <w:rsid w:val="002F2D02"/>
    <w:rsid w:val="002F2D63"/>
    <w:rsid w:val="002F368D"/>
    <w:rsid w:val="002F3704"/>
    <w:rsid w:val="002F3FAB"/>
    <w:rsid w:val="002F443D"/>
    <w:rsid w:val="002F462C"/>
    <w:rsid w:val="002F4823"/>
    <w:rsid w:val="002F48F4"/>
    <w:rsid w:val="002F48FB"/>
    <w:rsid w:val="002F4CDC"/>
    <w:rsid w:val="002F5138"/>
    <w:rsid w:val="002F552C"/>
    <w:rsid w:val="002F59B9"/>
    <w:rsid w:val="002F5A20"/>
    <w:rsid w:val="002F682E"/>
    <w:rsid w:val="002F6BA6"/>
    <w:rsid w:val="002F6CC5"/>
    <w:rsid w:val="002F6EA7"/>
    <w:rsid w:val="002F6EBB"/>
    <w:rsid w:val="002F7184"/>
    <w:rsid w:val="002F74A0"/>
    <w:rsid w:val="002F7D97"/>
    <w:rsid w:val="003000D7"/>
    <w:rsid w:val="003007D5"/>
    <w:rsid w:val="00300873"/>
    <w:rsid w:val="00300C4F"/>
    <w:rsid w:val="00300DDF"/>
    <w:rsid w:val="00300E24"/>
    <w:rsid w:val="00301A86"/>
    <w:rsid w:val="00302740"/>
    <w:rsid w:val="0030280B"/>
    <w:rsid w:val="00302CAB"/>
    <w:rsid w:val="003032E5"/>
    <w:rsid w:val="00303B71"/>
    <w:rsid w:val="00304064"/>
    <w:rsid w:val="003040F6"/>
    <w:rsid w:val="00304373"/>
    <w:rsid w:val="00304FE3"/>
    <w:rsid w:val="0030589C"/>
    <w:rsid w:val="00305D8A"/>
    <w:rsid w:val="00306428"/>
    <w:rsid w:val="00306960"/>
    <w:rsid w:val="00306B83"/>
    <w:rsid w:val="00306C17"/>
    <w:rsid w:val="0030730C"/>
    <w:rsid w:val="00307D57"/>
    <w:rsid w:val="00307EA5"/>
    <w:rsid w:val="003103D3"/>
    <w:rsid w:val="00310E33"/>
    <w:rsid w:val="00310F45"/>
    <w:rsid w:val="003113BA"/>
    <w:rsid w:val="0031160E"/>
    <w:rsid w:val="0031183F"/>
    <w:rsid w:val="00311EB0"/>
    <w:rsid w:val="003126EC"/>
    <w:rsid w:val="003128B1"/>
    <w:rsid w:val="00312935"/>
    <w:rsid w:val="003129A4"/>
    <w:rsid w:val="00312C5D"/>
    <w:rsid w:val="00313A2A"/>
    <w:rsid w:val="00313A7A"/>
    <w:rsid w:val="003148B4"/>
    <w:rsid w:val="00315361"/>
    <w:rsid w:val="00315C4C"/>
    <w:rsid w:val="00316034"/>
    <w:rsid w:val="0031674C"/>
    <w:rsid w:val="00316B51"/>
    <w:rsid w:val="00317969"/>
    <w:rsid w:val="00317978"/>
    <w:rsid w:val="00320CE9"/>
    <w:rsid w:val="003213A4"/>
    <w:rsid w:val="003213C0"/>
    <w:rsid w:val="003218C6"/>
    <w:rsid w:val="00321989"/>
    <w:rsid w:val="00322771"/>
    <w:rsid w:val="00322A27"/>
    <w:rsid w:val="00322E67"/>
    <w:rsid w:val="00322F29"/>
    <w:rsid w:val="00323A7E"/>
    <w:rsid w:val="00323B26"/>
    <w:rsid w:val="00323C78"/>
    <w:rsid w:val="00324125"/>
    <w:rsid w:val="0032553C"/>
    <w:rsid w:val="0032569C"/>
    <w:rsid w:val="00325793"/>
    <w:rsid w:val="00325803"/>
    <w:rsid w:val="00325B5B"/>
    <w:rsid w:val="00325C34"/>
    <w:rsid w:val="003261A8"/>
    <w:rsid w:val="00326481"/>
    <w:rsid w:val="00326A3D"/>
    <w:rsid w:val="00326C28"/>
    <w:rsid w:val="00326ED3"/>
    <w:rsid w:val="003274CB"/>
    <w:rsid w:val="00327652"/>
    <w:rsid w:val="00327854"/>
    <w:rsid w:val="00327A21"/>
    <w:rsid w:val="00327B57"/>
    <w:rsid w:val="00327F06"/>
    <w:rsid w:val="00330659"/>
    <w:rsid w:val="00330FE0"/>
    <w:rsid w:val="00331020"/>
    <w:rsid w:val="0033173D"/>
    <w:rsid w:val="00331742"/>
    <w:rsid w:val="0033197E"/>
    <w:rsid w:val="00331E21"/>
    <w:rsid w:val="00331E5F"/>
    <w:rsid w:val="00331F49"/>
    <w:rsid w:val="003320A6"/>
    <w:rsid w:val="0033286D"/>
    <w:rsid w:val="0033297A"/>
    <w:rsid w:val="00332C3C"/>
    <w:rsid w:val="00332FA7"/>
    <w:rsid w:val="00333932"/>
    <w:rsid w:val="00333C12"/>
    <w:rsid w:val="0033409F"/>
    <w:rsid w:val="0033452F"/>
    <w:rsid w:val="003346A4"/>
    <w:rsid w:val="00334878"/>
    <w:rsid w:val="003351E3"/>
    <w:rsid w:val="00335694"/>
    <w:rsid w:val="00336764"/>
    <w:rsid w:val="0033678A"/>
    <w:rsid w:val="0033688F"/>
    <w:rsid w:val="00336B33"/>
    <w:rsid w:val="00337188"/>
    <w:rsid w:val="003371A4"/>
    <w:rsid w:val="0033731C"/>
    <w:rsid w:val="00337F30"/>
    <w:rsid w:val="003400AD"/>
    <w:rsid w:val="00340E25"/>
    <w:rsid w:val="0034148D"/>
    <w:rsid w:val="00341640"/>
    <w:rsid w:val="0034174A"/>
    <w:rsid w:val="00341AD1"/>
    <w:rsid w:val="00341CD6"/>
    <w:rsid w:val="00341ED8"/>
    <w:rsid w:val="003422C2"/>
    <w:rsid w:val="00342971"/>
    <w:rsid w:val="00342BD0"/>
    <w:rsid w:val="003431FC"/>
    <w:rsid w:val="00343780"/>
    <w:rsid w:val="00343814"/>
    <w:rsid w:val="00343F64"/>
    <w:rsid w:val="00344C05"/>
    <w:rsid w:val="00344E71"/>
    <w:rsid w:val="00344FCE"/>
    <w:rsid w:val="003450B5"/>
    <w:rsid w:val="003450EC"/>
    <w:rsid w:val="00345292"/>
    <w:rsid w:val="0034552A"/>
    <w:rsid w:val="00345967"/>
    <w:rsid w:val="00345BE7"/>
    <w:rsid w:val="00346211"/>
    <w:rsid w:val="003465CD"/>
    <w:rsid w:val="0034680C"/>
    <w:rsid w:val="0034713F"/>
    <w:rsid w:val="0034745D"/>
    <w:rsid w:val="00347968"/>
    <w:rsid w:val="00347E92"/>
    <w:rsid w:val="00351348"/>
    <w:rsid w:val="00351B6B"/>
    <w:rsid w:val="003521D2"/>
    <w:rsid w:val="00353848"/>
    <w:rsid w:val="003538BD"/>
    <w:rsid w:val="00353BAB"/>
    <w:rsid w:val="0035425A"/>
    <w:rsid w:val="003545E1"/>
    <w:rsid w:val="003547FB"/>
    <w:rsid w:val="003549B9"/>
    <w:rsid w:val="0035514C"/>
    <w:rsid w:val="00355313"/>
    <w:rsid w:val="00355365"/>
    <w:rsid w:val="00355414"/>
    <w:rsid w:val="0035558F"/>
    <w:rsid w:val="00356146"/>
    <w:rsid w:val="003561E5"/>
    <w:rsid w:val="00356583"/>
    <w:rsid w:val="00356FEC"/>
    <w:rsid w:val="003577BC"/>
    <w:rsid w:val="00357B92"/>
    <w:rsid w:val="00360919"/>
    <w:rsid w:val="00360C0A"/>
    <w:rsid w:val="00360D5C"/>
    <w:rsid w:val="0036136C"/>
    <w:rsid w:val="00361B79"/>
    <w:rsid w:val="00362593"/>
    <w:rsid w:val="003627C7"/>
    <w:rsid w:val="00362A15"/>
    <w:rsid w:val="00362EB4"/>
    <w:rsid w:val="0036308C"/>
    <w:rsid w:val="00363443"/>
    <w:rsid w:val="00363522"/>
    <w:rsid w:val="003637F7"/>
    <w:rsid w:val="003643B5"/>
    <w:rsid w:val="0036490A"/>
    <w:rsid w:val="00364E45"/>
    <w:rsid w:val="00364FA3"/>
    <w:rsid w:val="003652A9"/>
    <w:rsid w:val="00365386"/>
    <w:rsid w:val="003654A8"/>
    <w:rsid w:val="0036579B"/>
    <w:rsid w:val="003659C5"/>
    <w:rsid w:val="003667AE"/>
    <w:rsid w:val="00366859"/>
    <w:rsid w:val="00366EEB"/>
    <w:rsid w:val="00366F44"/>
    <w:rsid w:val="00367465"/>
    <w:rsid w:val="003702C4"/>
    <w:rsid w:val="00370540"/>
    <w:rsid w:val="003707A4"/>
    <w:rsid w:val="003708A6"/>
    <w:rsid w:val="00370A98"/>
    <w:rsid w:val="003712C6"/>
    <w:rsid w:val="0037134F"/>
    <w:rsid w:val="00371478"/>
    <w:rsid w:val="003714C6"/>
    <w:rsid w:val="00371572"/>
    <w:rsid w:val="00371780"/>
    <w:rsid w:val="00371946"/>
    <w:rsid w:val="00371A95"/>
    <w:rsid w:val="00371B15"/>
    <w:rsid w:val="0037275C"/>
    <w:rsid w:val="00372BB7"/>
    <w:rsid w:val="003733C6"/>
    <w:rsid w:val="0037345A"/>
    <w:rsid w:val="003738FA"/>
    <w:rsid w:val="0037390E"/>
    <w:rsid w:val="00373ADF"/>
    <w:rsid w:val="00373C8F"/>
    <w:rsid w:val="00373D01"/>
    <w:rsid w:val="00374CCF"/>
    <w:rsid w:val="00374FF4"/>
    <w:rsid w:val="00375A84"/>
    <w:rsid w:val="00375F97"/>
    <w:rsid w:val="00375FD3"/>
    <w:rsid w:val="003760A0"/>
    <w:rsid w:val="00376154"/>
    <w:rsid w:val="003766C4"/>
    <w:rsid w:val="00376746"/>
    <w:rsid w:val="0037725F"/>
    <w:rsid w:val="0037734C"/>
    <w:rsid w:val="003773BD"/>
    <w:rsid w:val="003775FC"/>
    <w:rsid w:val="00377781"/>
    <w:rsid w:val="003778CC"/>
    <w:rsid w:val="00380D3D"/>
    <w:rsid w:val="0038111D"/>
    <w:rsid w:val="00381521"/>
    <w:rsid w:val="00381783"/>
    <w:rsid w:val="00381AD4"/>
    <w:rsid w:val="0038252F"/>
    <w:rsid w:val="0038287D"/>
    <w:rsid w:val="003832B9"/>
    <w:rsid w:val="00383A06"/>
    <w:rsid w:val="003843D6"/>
    <w:rsid w:val="00384C59"/>
    <w:rsid w:val="00384D69"/>
    <w:rsid w:val="00384EDC"/>
    <w:rsid w:val="003855EB"/>
    <w:rsid w:val="003858CB"/>
    <w:rsid w:val="003859A2"/>
    <w:rsid w:val="00385B9F"/>
    <w:rsid w:val="00385BF8"/>
    <w:rsid w:val="00385D64"/>
    <w:rsid w:val="00385EAF"/>
    <w:rsid w:val="00385FF6"/>
    <w:rsid w:val="00386528"/>
    <w:rsid w:val="0038678F"/>
    <w:rsid w:val="00386E1C"/>
    <w:rsid w:val="0038773A"/>
    <w:rsid w:val="0038774A"/>
    <w:rsid w:val="00387F21"/>
    <w:rsid w:val="00390099"/>
    <w:rsid w:val="003900CF"/>
    <w:rsid w:val="003901DC"/>
    <w:rsid w:val="003903EB"/>
    <w:rsid w:val="0039099B"/>
    <w:rsid w:val="00391E3E"/>
    <w:rsid w:val="00392248"/>
    <w:rsid w:val="003927D2"/>
    <w:rsid w:val="00392B96"/>
    <w:rsid w:val="003930CC"/>
    <w:rsid w:val="0039310A"/>
    <w:rsid w:val="003935C6"/>
    <w:rsid w:val="00393A5B"/>
    <w:rsid w:val="00393B98"/>
    <w:rsid w:val="00393E4A"/>
    <w:rsid w:val="0039415A"/>
    <w:rsid w:val="00394708"/>
    <w:rsid w:val="0039493F"/>
    <w:rsid w:val="00394C6D"/>
    <w:rsid w:val="00395743"/>
    <w:rsid w:val="00396130"/>
    <w:rsid w:val="00396212"/>
    <w:rsid w:val="00396712"/>
    <w:rsid w:val="00397661"/>
    <w:rsid w:val="0039775E"/>
    <w:rsid w:val="00397A70"/>
    <w:rsid w:val="003A039C"/>
    <w:rsid w:val="003A0490"/>
    <w:rsid w:val="003A0CAC"/>
    <w:rsid w:val="003A14CA"/>
    <w:rsid w:val="003A18B6"/>
    <w:rsid w:val="003A1DED"/>
    <w:rsid w:val="003A20BC"/>
    <w:rsid w:val="003A263D"/>
    <w:rsid w:val="003A2FB6"/>
    <w:rsid w:val="003A325E"/>
    <w:rsid w:val="003A3A07"/>
    <w:rsid w:val="003A3D78"/>
    <w:rsid w:val="003A4D88"/>
    <w:rsid w:val="003A503B"/>
    <w:rsid w:val="003A5C36"/>
    <w:rsid w:val="003A5F86"/>
    <w:rsid w:val="003A62C8"/>
    <w:rsid w:val="003A6664"/>
    <w:rsid w:val="003A6B3A"/>
    <w:rsid w:val="003A7341"/>
    <w:rsid w:val="003A7AFD"/>
    <w:rsid w:val="003A7D12"/>
    <w:rsid w:val="003A7D87"/>
    <w:rsid w:val="003A7F4B"/>
    <w:rsid w:val="003B0117"/>
    <w:rsid w:val="003B03A6"/>
    <w:rsid w:val="003B076D"/>
    <w:rsid w:val="003B0C7E"/>
    <w:rsid w:val="003B15A4"/>
    <w:rsid w:val="003B1E41"/>
    <w:rsid w:val="003B1F3D"/>
    <w:rsid w:val="003B23DD"/>
    <w:rsid w:val="003B2813"/>
    <w:rsid w:val="003B2B2C"/>
    <w:rsid w:val="003B2C9E"/>
    <w:rsid w:val="003B2CC5"/>
    <w:rsid w:val="003B300E"/>
    <w:rsid w:val="003B3081"/>
    <w:rsid w:val="003B32EF"/>
    <w:rsid w:val="003B35F2"/>
    <w:rsid w:val="003B3642"/>
    <w:rsid w:val="003B3896"/>
    <w:rsid w:val="003B4615"/>
    <w:rsid w:val="003B4757"/>
    <w:rsid w:val="003B475B"/>
    <w:rsid w:val="003B5B19"/>
    <w:rsid w:val="003B5BF1"/>
    <w:rsid w:val="003B6074"/>
    <w:rsid w:val="003B60E0"/>
    <w:rsid w:val="003B6346"/>
    <w:rsid w:val="003B6BA3"/>
    <w:rsid w:val="003B7003"/>
    <w:rsid w:val="003B734E"/>
    <w:rsid w:val="003B7F64"/>
    <w:rsid w:val="003C0145"/>
    <w:rsid w:val="003C0188"/>
    <w:rsid w:val="003C0AFC"/>
    <w:rsid w:val="003C0B85"/>
    <w:rsid w:val="003C0DC5"/>
    <w:rsid w:val="003C10BB"/>
    <w:rsid w:val="003C174C"/>
    <w:rsid w:val="003C1757"/>
    <w:rsid w:val="003C184C"/>
    <w:rsid w:val="003C1B1D"/>
    <w:rsid w:val="003C1BDF"/>
    <w:rsid w:val="003C21E6"/>
    <w:rsid w:val="003C2460"/>
    <w:rsid w:val="003C2796"/>
    <w:rsid w:val="003C2BFF"/>
    <w:rsid w:val="003C2FE3"/>
    <w:rsid w:val="003C3C57"/>
    <w:rsid w:val="003C437F"/>
    <w:rsid w:val="003C455B"/>
    <w:rsid w:val="003C47CE"/>
    <w:rsid w:val="003C4B4C"/>
    <w:rsid w:val="003C539B"/>
    <w:rsid w:val="003C5845"/>
    <w:rsid w:val="003C5939"/>
    <w:rsid w:val="003C5C95"/>
    <w:rsid w:val="003C5D9B"/>
    <w:rsid w:val="003C62EA"/>
    <w:rsid w:val="003C6689"/>
    <w:rsid w:val="003C68E9"/>
    <w:rsid w:val="003C6A13"/>
    <w:rsid w:val="003C6FD9"/>
    <w:rsid w:val="003C7550"/>
    <w:rsid w:val="003C7B88"/>
    <w:rsid w:val="003C7DD6"/>
    <w:rsid w:val="003C7E78"/>
    <w:rsid w:val="003C7F51"/>
    <w:rsid w:val="003D008C"/>
    <w:rsid w:val="003D0361"/>
    <w:rsid w:val="003D045F"/>
    <w:rsid w:val="003D0939"/>
    <w:rsid w:val="003D0A13"/>
    <w:rsid w:val="003D1262"/>
    <w:rsid w:val="003D139A"/>
    <w:rsid w:val="003D1C1B"/>
    <w:rsid w:val="003D2035"/>
    <w:rsid w:val="003D2890"/>
    <w:rsid w:val="003D2B9C"/>
    <w:rsid w:val="003D2EA3"/>
    <w:rsid w:val="003D34CB"/>
    <w:rsid w:val="003D3678"/>
    <w:rsid w:val="003D3DC5"/>
    <w:rsid w:val="003D4120"/>
    <w:rsid w:val="003D4C9A"/>
    <w:rsid w:val="003D4CAB"/>
    <w:rsid w:val="003D57EC"/>
    <w:rsid w:val="003D583F"/>
    <w:rsid w:val="003D6711"/>
    <w:rsid w:val="003D6C1E"/>
    <w:rsid w:val="003D6CB5"/>
    <w:rsid w:val="003D706F"/>
    <w:rsid w:val="003D730C"/>
    <w:rsid w:val="003D750A"/>
    <w:rsid w:val="003D75CA"/>
    <w:rsid w:val="003E0297"/>
    <w:rsid w:val="003E02E9"/>
    <w:rsid w:val="003E1316"/>
    <w:rsid w:val="003E1474"/>
    <w:rsid w:val="003E156E"/>
    <w:rsid w:val="003E1D7E"/>
    <w:rsid w:val="003E1DAF"/>
    <w:rsid w:val="003E2154"/>
    <w:rsid w:val="003E22F8"/>
    <w:rsid w:val="003E2644"/>
    <w:rsid w:val="003E26E7"/>
    <w:rsid w:val="003E38B2"/>
    <w:rsid w:val="003E3924"/>
    <w:rsid w:val="003E41CA"/>
    <w:rsid w:val="003E468B"/>
    <w:rsid w:val="003E4BFA"/>
    <w:rsid w:val="003E4FA8"/>
    <w:rsid w:val="003E5292"/>
    <w:rsid w:val="003E5779"/>
    <w:rsid w:val="003E5D09"/>
    <w:rsid w:val="003E5DB6"/>
    <w:rsid w:val="003E5E85"/>
    <w:rsid w:val="003E60ED"/>
    <w:rsid w:val="003E6581"/>
    <w:rsid w:val="003E6991"/>
    <w:rsid w:val="003E6A44"/>
    <w:rsid w:val="003E6C6B"/>
    <w:rsid w:val="003E6D43"/>
    <w:rsid w:val="003E731A"/>
    <w:rsid w:val="003E7594"/>
    <w:rsid w:val="003E771D"/>
    <w:rsid w:val="003F06A1"/>
    <w:rsid w:val="003F07E4"/>
    <w:rsid w:val="003F1088"/>
    <w:rsid w:val="003F1A94"/>
    <w:rsid w:val="003F1B77"/>
    <w:rsid w:val="003F1D4F"/>
    <w:rsid w:val="003F1DA2"/>
    <w:rsid w:val="003F1FF2"/>
    <w:rsid w:val="003F2206"/>
    <w:rsid w:val="003F2274"/>
    <w:rsid w:val="003F2516"/>
    <w:rsid w:val="003F29A2"/>
    <w:rsid w:val="003F329D"/>
    <w:rsid w:val="003F3A38"/>
    <w:rsid w:val="003F3AFF"/>
    <w:rsid w:val="003F3C17"/>
    <w:rsid w:val="003F4423"/>
    <w:rsid w:val="003F4C0B"/>
    <w:rsid w:val="003F4E51"/>
    <w:rsid w:val="003F582E"/>
    <w:rsid w:val="003F58D4"/>
    <w:rsid w:val="003F5942"/>
    <w:rsid w:val="003F5B17"/>
    <w:rsid w:val="003F5C7B"/>
    <w:rsid w:val="003F5F20"/>
    <w:rsid w:val="003F628D"/>
    <w:rsid w:val="003F62EF"/>
    <w:rsid w:val="003F631C"/>
    <w:rsid w:val="003F6424"/>
    <w:rsid w:val="003F67B6"/>
    <w:rsid w:val="003F6916"/>
    <w:rsid w:val="003F69E6"/>
    <w:rsid w:val="003F7439"/>
    <w:rsid w:val="003F7578"/>
    <w:rsid w:val="003F7757"/>
    <w:rsid w:val="003F7B92"/>
    <w:rsid w:val="003F7E06"/>
    <w:rsid w:val="003F7E29"/>
    <w:rsid w:val="004000CA"/>
    <w:rsid w:val="0040013F"/>
    <w:rsid w:val="00400166"/>
    <w:rsid w:val="0040017D"/>
    <w:rsid w:val="00400300"/>
    <w:rsid w:val="0040085A"/>
    <w:rsid w:val="00400D57"/>
    <w:rsid w:val="00400D7E"/>
    <w:rsid w:val="00401157"/>
    <w:rsid w:val="00401D91"/>
    <w:rsid w:val="00401F30"/>
    <w:rsid w:val="00402504"/>
    <w:rsid w:val="00402509"/>
    <w:rsid w:val="0040274C"/>
    <w:rsid w:val="00402E59"/>
    <w:rsid w:val="00402E5D"/>
    <w:rsid w:val="00402EEF"/>
    <w:rsid w:val="00403349"/>
    <w:rsid w:val="004036D1"/>
    <w:rsid w:val="0040403A"/>
    <w:rsid w:val="00404467"/>
    <w:rsid w:val="0040512F"/>
    <w:rsid w:val="00405244"/>
    <w:rsid w:val="00405512"/>
    <w:rsid w:val="00405929"/>
    <w:rsid w:val="00405FF4"/>
    <w:rsid w:val="00406731"/>
    <w:rsid w:val="0040778D"/>
    <w:rsid w:val="0040791A"/>
    <w:rsid w:val="004100F8"/>
    <w:rsid w:val="0041064E"/>
    <w:rsid w:val="004107F6"/>
    <w:rsid w:val="004108B5"/>
    <w:rsid w:val="00410C3F"/>
    <w:rsid w:val="00410E12"/>
    <w:rsid w:val="00410E76"/>
    <w:rsid w:val="0041111B"/>
    <w:rsid w:val="00411844"/>
    <w:rsid w:val="004119DB"/>
    <w:rsid w:val="00411BCA"/>
    <w:rsid w:val="00411E2D"/>
    <w:rsid w:val="004122E2"/>
    <w:rsid w:val="0041366E"/>
    <w:rsid w:val="004136EB"/>
    <w:rsid w:val="0041385D"/>
    <w:rsid w:val="00413923"/>
    <w:rsid w:val="0041395C"/>
    <w:rsid w:val="00413A80"/>
    <w:rsid w:val="00413CAA"/>
    <w:rsid w:val="00414208"/>
    <w:rsid w:val="004142C8"/>
    <w:rsid w:val="004143B5"/>
    <w:rsid w:val="004146D2"/>
    <w:rsid w:val="00414D28"/>
    <w:rsid w:val="0041501D"/>
    <w:rsid w:val="00415FD2"/>
    <w:rsid w:val="00416312"/>
    <w:rsid w:val="004165D4"/>
    <w:rsid w:val="00416712"/>
    <w:rsid w:val="004168D4"/>
    <w:rsid w:val="00416C88"/>
    <w:rsid w:val="00417246"/>
    <w:rsid w:val="00417347"/>
    <w:rsid w:val="0041741C"/>
    <w:rsid w:val="004178E5"/>
    <w:rsid w:val="00417A48"/>
    <w:rsid w:val="00420557"/>
    <w:rsid w:val="00420FC5"/>
    <w:rsid w:val="0042102D"/>
    <w:rsid w:val="0042140A"/>
    <w:rsid w:val="00421EBE"/>
    <w:rsid w:val="004220B2"/>
    <w:rsid w:val="00422C72"/>
    <w:rsid w:val="00422EFB"/>
    <w:rsid w:val="00423183"/>
    <w:rsid w:val="0042445C"/>
    <w:rsid w:val="00424A8C"/>
    <w:rsid w:val="00424BEF"/>
    <w:rsid w:val="00424CB9"/>
    <w:rsid w:val="00425246"/>
    <w:rsid w:val="004253E9"/>
    <w:rsid w:val="00425562"/>
    <w:rsid w:val="00425702"/>
    <w:rsid w:val="00426250"/>
    <w:rsid w:val="00426B13"/>
    <w:rsid w:val="00426B21"/>
    <w:rsid w:val="0042721B"/>
    <w:rsid w:val="004301DB"/>
    <w:rsid w:val="00430427"/>
    <w:rsid w:val="004305FB"/>
    <w:rsid w:val="004309C4"/>
    <w:rsid w:val="00430C88"/>
    <w:rsid w:val="00430E3D"/>
    <w:rsid w:val="00430F4D"/>
    <w:rsid w:val="004311B7"/>
    <w:rsid w:val="00431459"/>
    <w:rsid w:val="00431A42"/>
    <w:rsid w:val="00431AD0"/>
    <w:rsid w:val="00432066"/>
    <w:rsid w:val="004325F0"/>
    <w:rsid w:val="0043274A"/>
    <w:rsid w:val="00433156"/>
    <w:rsid w:val="00433371"/>
    <w:rsid w:val="00433598"/>
    <w:rsid w:val="004335CC"/>
    <w:rsid w:val="00434542"/>
    <w:rsid w:val="00434759"/>
    <w:rsid w:val="00435062"/>
    <w:rsid w:val="00435401"/>
    <w:rsid w:val="00435D87"/>
    <w:rsid w:val="0043653B"/>
    <w:rsid w:val="004366FC"/>
    <w:rsid w:val="00436998"/>
    <w:rsid w:val="00436DB3"/>
    <w:rsid w:val="004372FE"/>
    <w:rsid w:val="00437919"/>
    <w:rsid w:val="00440019"/>
    <w:rsid w:val="00440980"/>
    <w:rsid w:val="00441833"/>
    <w:rsid w:val="0044195C"/>
    <w:rsid w:val="00441AD1"/>
    <w:rsid w:val="00442247"/>
    <w:rsid w:val="004425BC"/>
    <w:rsid w:val="004435CA"/>
    <w:rsid w:val="004436B7"/>
    <w:rsid w:val="00443928"/>
    <w:rsid w:val="00443DB2"/>
    <w:rsid w:val="0044472A"/>
    <w:rsid w:val="00444C83"/>
    <w:rsid w:val="00444E41"/>
    <w:rsid w:val="0044535F"/>
    <w:rsid w:val="00445A2C"/>
    <w:rsid w:val="00446471"/>
    <w:rsid w:val="00446789"/>
    <w:rsid w:val="004467B6"/>
    <w:rsid w:val="00446B29"/>
    <w:rsid w:val="00447550"/>
    <w:rsid w:val="00447B56"/>
    <w:rsid w:val="00447BD3"/>
    <w:rsid w:val="00447C21"/>
    <w:rsid w:val="00447F8E"/>
    <w:rsid w:val="00447F9A"/>
    <w:rsid w:val="0045026B"/>
    <w:rsid w:val="00450491"/>
    <w:rsid w:val="004515FA"/>
    <w:rsid w:val="00451948"/>
    <w:rsid w:val="00451A9C"/>
    <w:rsid w:val="00451EE5"/>
    <w:rsid w:val="004533C8"/>
    <w:rsid w:val="004535C0"/>
    <w:rsid w:val="0045396C"/>
    <w:rsid w:val="00453D1C"/>
    <w:rsid w:val="0045410D"/>
    <w:rsid w:val="004541A4"/>
    <w:rsid w:val="004541DA"/>
    <w:rsid w:val="00454E7B"/>
    <w:rsid w:val="0045513E"/>
    <w:rsid w:val="0045528D"/>
    <w:rsid w:val="0045536E"/>
    <w:rsid w:val="00455592"/>
    <w:rsid w:val="00456220"/>
    <w:rsid w:val="004564A7"/>
    <w:rsid w:val="0045673F"/>
    <w:rsid w:val="004567BB"/>
    <w:rsid w:val="004570CA"/>
    <w:rsid w:val="004574F0"/>
    <w:rsid w:val="00457A1E"/>
    <w:rsid w:val="00457D78"/>
    <w:rsid w:val="0046012B"/>
    <w:rsid w:val="00460169"/>
    <w:rsid w:val="0046045E"/>
    <w:rsid w:val="00460740"/>
    <w:rsid w:val="00460C07"/>
    <w:rsid w:val="0046107F"/>
    <w:rsid w:val="00461925"/>
    <w:rsid w:val="00461ED2"/>
    <w:rsid w:val="00462827"/>
    <w:rsid w:val="00462AE7"/>
    <w:rsid w:val="0046357E"/>
    <w:rsid w:val="00463A09"/>
    <w:rsid w:val="00463C7B"/>
    <w:rsid w:val="00463DF2"/>
    <w:rsid w:val="0046408D"/>
    <w:rsid w:val="004640C5"/>
    <w:rsid w:val="004643FC"/>
    <w:rsid w:val="0046463B"/>
    <w:rsid w:val="0046474D"/>
    <w:rsid w:val="00464830"/>
    <w:rsid w:val="00466140"/>
    <w:rsid w:val="00466245"/>
    <w:rsid w:val="004662E4"/>
    <w:rsid w:val="004663B8"/>
    <w:rsid w:val="004665DA"/>
    <w:rsid w:val="00466734"/>
    <w:rsid w:val="004669A9"/>
    <w:rsid w:val="00466B52"/>
    <w:rsid w:val="00467290"/>
    <w:rsid w:val="004675BB"/>
    <w:rsid w:val="00467929"/>
    <w:rsid w:val="00467DA3"/>
    <w:rsid w:val="00467F35"/>
    <w:rsid w:val="00470B88"/>
    <w:rsid w:val="00470DE8"/>
    <w:rsid w:val="00470E21"/>
    <w:rsid w:val="0047108D"/>
    <w:rsid w:val="00471CD7"/>
    <w:rsid w:val="0047259A"/>
    <w:rsid w:val="0047278E"/>
    <w:rsid w:val="0047279B"/>
    <w:rsid w:val="00472D51"/>
    <w:rsid w:val="00473599"/>
    <w:rsid w:val="0047372A"/>
    <w:rsid w:val="00473929"/>
    <w:rsid w:val="00473A26"/>
    <w:rsid w:val="00474379"/>
    <w:rsid w:val="0047493B"/>
    <w:rsid w:val="0047532E"/>
    <w:rsid w:val="004755CB"/>
    <w:rsid w:val="00475B57"/>
    <w:rsid w:val="00476B32"/>
    <w:rsid w:val="00477B2A"/>
    <w:rsid w:val="00477F17"/>
    <w:rsid w:val="00480066"/>
    <w:rsid w:val="00480377"/>
    <w:rsid w:val="00480557"/>
    <w:rsid w:val="00481428"/>
    <w:rsid w:val="00481FBB"/>
    <w:rsid w:val="00482C59"/>
    <w:rsid w:val="00482CD1"/>
    <w:rsid w:val="00483320"/>
    <w:rsid w:val="004835C1"/>
    <w:rsid w:val="00483B74"/>
    <w:rsid w:val="00483CBB"/>
    <w:rsid w:val="00484AB1"/>
    <w:rsid w:val="00485053"/>
    <w:rsid w:val="00485323"/>
    <w:rsid w:val="004864BC"/>
    <w:rsid w:val="00486C20"/>
    <w:rsid w:val="00486C27"/>
    <w:rsid w:val="00486F32"/>
    <w:rsid w:val="00486F34"/>
    <w:rsid w:val="004870C2"/>
    <w:rsid w:val="00487110"/>
    <w:rsid w:val="0048716E"/>
    <w:rsid w:val="00487AB1"/>
    <w:rsid w:val="00487B46"/>
    <w:rsid w:val="00487CA4"/>
    <w:rsid w:val="00490229"/>
    <w:rsid w:val="00490A73"/>
    <w:rsid w:val="00490ABB"/>
    <w:rsid w:val="00490C17"/>
    <w:rsid w:val="00490F78"/>
    <w:rsid w:val="00491129"/>
    <w:rsid w:val="0049165E"/>
    <w:rsid w:val="00491A9E"/>
    <w:rsid w:val="00492614"/>
    <w:rsid w:val="00492795"/>
    <w:rsid w:val="00493148"/>
    <w:rsid w:val="00493509"/>
    <w:rsid w:val="004937C3"/>
    <w:rsid w:val="004945F9"/>
    <w:rsid w:val="00494A99"/>
    <w:rsid w:val="00494BDF"/>
    <w:rsid w:val="00494E4F"/>
    <w:rsid w:val="00494EED"/>
    <w:rsid w:val="0049509C"/>
    <w:rsid w:val="00495208"/>
    <w:rsid w:val="00496422"/>
    <w:rsid w:val="004965A6"/>
    <w:rsid w:val="00496E79"/>
    <w:rsid w:val="00496FD3"/>
    <w:rsid w:val="00497B92"/>
    <w:rsid w:val="004A0C1D"/>
    <w:rsid w:val="004A1202"/>
    <w:rsid w:val="004A1AE1"/>
    <w:rsid w:val="004A1C97"/>
    <w:rsid w:val="004A2F11"/>
    <w:rsid w:val="004A2F52"/>
    <w:rsid w:val="004A2FDC"/>
    <w:rsid w:val="004A32B6"/>
    <w:rsid w:val="004A34E2"/>
    <w:rsid w:val="004A3D39"/>
    <w:rsid w:val="004A3D76"/>
    <w:rsid w:val="004A3E0B"/>
    <w:rsid w:val="004A3F82"/>
    <w:rsid w:val="004A4331"/>
    <w:rsid w:val="004A43B9"/>
    <w:rsid w:val="004A4577"/>
    <w:rsid w:val="004A5455"/>
    <w:rsid w:val="004A595F"/>
    <w:rsid w:val="004A5C53"/>
    <w:rsid w:val="004A5D17"/>
    <w:rsid w:val="004A5E7D"/>
    <w:rsid w:val="004A6DAF"/>
    <w:rsid w:val="004A7142"/>
    <w:rsid w:val="004A71E9"/>
    <w:rsid w:val="004A7870"/>
    <w:rsid w:val="004A7E7B"/>
    <w:rsid w:val="004B0264"/>
    <w:rsid w:val="004B0B81"/>
    <w:rsid w:val="004B0BAE"/>
    <w:rsid w:val="004B0CA0"/>
    <w:rsid w:val="004B10FF"/>
    <w:rsid w:val="004B1133"/>
    <w:rsid w:val="004B132D"/>
    <w:rsid w:val="004B1420"/>
    <w:rsid w:val="004B16DC"/>
    <w:rsid w:val="004B1D37"/>
    <w:rsid w:val="004B1E3E"/>
    <w:rsid w:val="004B224F"/>
    <w:rsid w:val="004B383E"/>
    <w:rsid w:val="004B3B06"/>
    <w:rsid w:val="004B3B65"/>
    <w:rsid w:val="004B3E20"/>
    <w:rsid w:val="004B4DEF"/>
    <w:rsid w:val="004B54DE"/>
    <w:rsid w:val="004B5ABF"/>
    <w:rsid w:val="004B5ECC"/>
    <w:rsid w:val="004B64D3"/>
    <w:rsid w:val="004B674D"/>
    <w:rsid w:val="004B6B18"/>
    <w:rsid w:val="004B6F8D"/>
    <w:rsid w:val="004B7131"/>
    <w:rsid w:val="004B73AE"/>
    <w:rsid w:val="004B7C13"/>
    <w:rsid w:val="004B7D18"/>
    <w:rsid w:val="004B7FEE"/>
    <w:rsid w:val="004C01A7"/>
    <w:rsid w:val="004C0259"/>
    <w:rsid w:val="004C0984"/>
    <w:rsid w:val="004C0F6A"/>
    <w:rsid w:val="004C10C8"/>
    <w:rsid w:val="004C138C"/>
    <w:rsid w:val="004C1736"/>
    <w:rsid w:val="004C1C0D"/>
    <w:rsid w:val="004C1CAF"/>
    <w:rsid w:val="004C1E1A"/>
    <w:rsid w:val="004C2326"/>
    <w:rsid w:val="004C2AA9"/>
    <w:rsid w:val="004C2CD5"/>
    <w:rsid w:val="004C3075"/>
    <w:rsid w:val="004C324E"/>
    <w:rsid w:val="004C3260"/>
    <w:rsid w:val="004C4029"/>
    <w:rsid w:val="004C429C"/>
    <w:rsid w:val="004C4B87"/>
    <w:rsid w:val="004C4CA5"/>
    <w:rsid w:val="004C5014"/>
    <w:rsid w:val="004C618F"/>
    <w:rsid w:val="004C6284"/>
    <w:rsid w:val="004C688F"/>
    <w:rsid w:val="004C691B"/>
    <w:rsid w:val="004C7328"/>
    <w:rsid w:val="004C7668"/>
    <w:rsid w:val="004D000C"/>
    <w:rsid w:val="004D03E9"/>
    <w:rsid w:val="004D0609"/>
    <w:rsid w:val="004D0C86"/>
    <w:rsid w:val="004D0DC2"/>
    <w:rsid w:val="004D1934"/>
    <w:rsid w:val="004D1DAF"/>
    <w:rsid w:val="004D2012"/>
    <w:rsid w:val="004D2547"/>
    <w:rsid w:val="004D2B4D"/>
    <w:rsid w:val="004D2E4A"/>
    <w:rsid w:val="004D2F53"/>
    <w:rsid w:val="004D3004"/>
    <w:rsid w:val="004D366B"/>
    <w:rsid w:val="004D3D55"/>
    <w:rsid w:val="004D3DE6"/>
    <w:rsid w:val="004D3FA8"/>
    <w:rsid w:val="004D406E"/>
    <w:rsid w:val="004D4418"/>
    <w:rsid w:val="004D4463"/>
    <w:rsid w:val="004D6188"/>
    <w:rsid w:val="004D624D"/>
    <w:rsid w:val="004D6888"/>
    <w:rsid w:val="004D68B5"/>
    <w:rsid w:val="004D6AFD"/>
    <w:rsid w:val="004D6C7F"/>
    <w:rsid w:val="004D7379"/>
    <w:rsid w:val="004D7C82"/>
    <w:rsid w:val="004D7E0C"/>
    <w:rsid w:val="004E02F2"/>
    <w:rsid w:val="004E0D3E"/>
    <w:rsid w:val="004E107F"/>
    <w:rsid w:val="004E114C"/>
    <w:rsid w:val="004E17A8"/>
    <w:rsid w:val="004E190D"/>
    <w:rsid w:val="004E1F33"/>
    <w:rsid w:val="004E2FD1"/>
    <w:rsid w:val="004E3529"/>
    <w:rsid w:val="004E3A9C"/>
    <w:rsid w:val="004E3F9C"/>
    <w:rsid w:val="004E44D1"/>
    <w:rsid w:val="004E49AA"/>
    <w:rsid w:val="004E4EB9"/>
    <w:rsid w:val="004E514B"/>
    <w:rsid w:val="004E5B05"/>
    <w:rsid w:val="004E5BD7"/>
    <w:rsid w:val="004E5CE1"/>
    <w:rsid w:val="004E6253"/>
    <w:rsid w:val="004E62BC"/>
    <w:rsid w:val="004E72C4"/>
    <w:rsid w:val="004E7D7C"/>
    <w:rsid w:val="004E7F83"/>
    <w:rsid w:val="004F0080"/>
    <w:rsid w:val="004F0163"/>
    <w:rsid w:val="004F017B"/>
    <w:rsid w:val="004F0DF8"/>
    <w:rsid w:val="004F10A5"/>
    <w:rsid w:val="004F1E70"/>
    <w:rsid w:val="004F24A5"/>
    <w:rsid w:val="004F2CFB"/>
    <w:rsid w:val="004F308D"/>
    <w:rsid w:val="004F32A3"/>
    <w:rsid w:val="004F3559"/>
    <w:rsid w:val="004F37F0"/>
    <w:rsid w:val="004F3B6E"/>
    <w:rsid w:val="004F3BDE"/>
    <w:rsid w:val="004F3EC1"/>
    <w:rsid w:val="004F4770"/>
    <w:rsid w:val="004F56E9"/>
    <w:rsid w:val="004F5ED4"/>
    <w:rsid w:val="004F5FAA"/>
    <w:rsid w:val="004F6170"/>
    <w:rsid w:val="004F70A6"/>
    <w:rsid w:val="004F752A"/>
    <w:rsid w:val="004F755C"/>
    <w:rsid w:val="004F75CA"/>
    <w:rsid w:val="004F79C4"/>
    <w:rsid w:val="004F79D9"/>
    <w:rsid w:val="00500081"/>
    <w:rsid w:val="005004B5"/>
    <w:rsid w:val="0050054F"/>
    <w:rsid w:val="00500A46"/>
    <w:rsid w:val="005015E0"/>
    <w:rsid w:val="00501A78"/>
    <w:rsid w:val="00501A96"/>
    <w:rsid w:val="00501D0C"/>
    <w:rsid w:val="00501F2A"/>
    <w:rsid w:val="005020FB"/>
    <w:rsid w:val="00502175"/>
    <w:rsid w:val="0050234B"/>
    <w:rsid w:val="005023CC"/>
    <w:rsid w:val="0050256C"/>
    <w:rsid w:val="005029A4"/>
    <w:rsid w:val="00503151"/>
    <w:rsid w:val="00503B44"/>
    <w:rsid w:val="00503D65"/>
    <w:rsid w:val="005042CC"/>
    <w:rsid w:val="00504338"/>
    <w:rsid w:val="00504597"/>
    <w:rsid w:val="005050E9"/>
    <w:rsid w:val="005057B9"/>
    <w:rsid w:val="00505B48"/>
    <w:rsid w:val="00505E36"/>
    <w:rsid w:val="005072E0"/>
    <w:rsid w:val="00507A22"/>
    <w:rsid w:val="00510364"/>
    <w:rsid w:val="00510833"/>
    <w:rsid w:val="00510874"/>
    <w:rsid w:val="00510931"/>
    <w:rsid w:val="00510C46"/>
    <w:rsid w:val="00510C7A"/>
    <w:rsid w:val="00511B35"/>
    <w:rsid w:val="00511B50"/>
    <w:rsid w:val="005122C2"/>
    <w:rsid w:val="00512797"/>
    <w:rsid w:val="00512B5B"/>
    <w:rsid w:val="005130E7"/>
    <w:rsid w:val="00514708"/>
    <w:rsid w:val="005151F8"/>
    <w:rsid w:val="00515258"/>
    <w:rsid w:val="00515413"/>
    <w:rsid w:val="005154E4"/>
    <w:rsid w:val="005158B9"/>
    <w:rsid w:val="00515A88"/>
    <w:rsid w:val="00515B98"/>
    <w:rsid w:val="00515C5B"/>
    <w:rsid w:val="00515DD2"/>
    <w:rsid w:val="005163D9"/>
    <w:rsid w:val="00516459"/>
    <w:rsid w:val="00516623"/>
    <w:rsid w:val="00516766"/>
    <w:rsid w:val="005167D3"/>
    <w:rsid w:val="00516CE4"/>
    <w:rsid w:val="005172DC"/>
    <w:rsid w:val="00517CC6"/>
    <w:rsid w:val="005202DB"/>
    <w:rsid w:val="00520835"/>
    <w:rsid w:val="00520D11"/>
    <w:rsid w:val="00521428"/>
    <w:rsid w:val="00521A3F"/>
    <w:rsid w:val="00521E13"/>
    <w:rsid w:val="005221E6"/>
    <w:rsid w:val="005222C8"/>
    <w:rsid w:val="005227BD"/>
    <w:rsid w:val="005228A4"/>
    <w:rsid w:val="00522E0A"/>
    <w:rsid w:val="0052350E"/>
    <w:rsid w:val="00523939"/>
    <w:rsid w:val="00523C81"/>
    <w:rsid w:val="00523F81"/>
    <w:rsid w:val="005242F9"/>
    <w:rsid w:val="0052451F"/>
    <w:rsid w:val="00524663"/>
    <w:rsid w:val="005246FA"/>
    <w:rsid w:val="005247A6"/>
    <w:rsid w:val="0052480F"/>
    <w:rsid w:val="0052485C"/>
    <w:rsid w:val="00525254"/>
    <w:rsid w:val="005252D9"/>
    <w:rsid w:val="00525594"/>
    <w:rsid w:val="00525A7B"/>
    <w:rsid w:val="00526090"/>
    <w:rsid w:val="005262A0"/>
    <w:rsid w:val="005267F6"/>
    <w:rsid w:val="00526F21"/>
    <w:rsid w:val="005278BB"/>
    <w:rsid w:val="00527D14"/>
    <w:rsid w:val="00527DAE"/>
    <w:rsid w:val="00527FD5"/>
    <w:rsid w:val="00530136"/>
    <w:rsid w:val="00531B81"/>
    <w:rsid w:val="00531D3A"/>
    <w:rsid w:val="00531D42"/>
    <w:rsid w:val="00532127"/>
    <w:rsid w:val="005324E1"/>
    <w:rsid w:val="00532C12"/>
    <w:rsid w:val="00533CEE"/>
    <w:rsid w:val="005342F6"/>
    <w:rsid w:val="00534C52"/>
    <w:rsid w:val="0053524C"/>
    <w:rsid w:val="00535270"/>
    <w:rsid w:val="00535926"/>
    <w:rsid w:val="00535CE3"/>
    <w:rsid w:val="00535CEF"/>
    <w:rsid w:val="00535F09"/>
    <w:rsid w:val="00535F62"/>
    <w:rsid w:val="00536014"/>
    <w:rsid w:val="005368A4"/>
    <w:rsid w:val="00536C6E"/>
    <w:rsid w:val="00536D13"/>
    <w:rsid w:val="00537107"/>
    <w:rsid w:val="00537127"/>
    <w:rsid w:val="0053716F"/>
    <w:rsid w:val="00537B1D"/>
    <w:rsid w:val="00537EDF"/>
    <w:rsid w:val="00540214"/>
    <w:rsid w:val="0054067D"/>
    <w:rsid w:val="00540918"/>
    <w:rsid w:val="005409C7"/>
    <w:rsid w:val="00540B6A"/>
    <w:rsid w:val="00540D9B"/>
    <w:rsid w:val="00540FF2"/>
    <w:rsid w:val="0054116F"/>
    <w:rsid w:val="005412C0"/>
    <w:rsid w:val="0054259B"/>
    <w:rsid w:val="005426F9"/>
    <w:rsid w:val="005427B5"/>
    <w:rsid w:val="00542D02"/>
    <w:rsid w:val="0054362F"/>
    <w:rsid w:val="0054372A"/>
    <w:rsid w:val="005442BB"/>
    <w:rsid w:val="005446A3"/>
    <w:rsid w:val="00544881"/>
    <w:rsid w:val="00544BCC"/>
    <w:rsid w:val="005458C8"/>
    <w:rsid w:val="0054590E"/>
    <w:rsid w:val="005462B6"/>
    <w:rsid w:val="00546699"/>
    <w:rsid w:val="00546E95"/>
    <w:rsid w:val="00547C6F"/>
    <w:rsid w:val="00550169"/>
    <w:rsid w:val="0055071C"/>
    <w:rsid w:val="005507FF"/>
    <w:rsid w:val="005508B9"/>
    <w:rsid w:val="005513BC"/>
    <w:rsid w:val="00552060"/>
    <w:rsid w:val="005522D7"/>
    <w:rsid w:val="00552456"/>
    <w:rsid w:val="00552CCF"/>
    <w:rsid w:val="00553047"/>
    <w:rsid w:val="005534E0"/>
    <w:rsid w:val="00553861"/>
    <w:rsid w:val="00553B8A"/>
    <w:rsid w:val="00553FE5"/>
    <w:rsid w:val="005540EA"/>
    <w:rsid w:val="005549B5"/>
    <w:rsid w:val="0055569F"/>
    <w:rsid w:val="005557D2"/>
    <w:rsid w:val="005561AE"/>
    <w:rsid w:val="00556307"/>
    <w:rsid w:val="005569A5"/>
    <w:rsid w:val="005569F8"/>
    <w:rsid w:val="00556B16"/>
    <w:rsid w:val="00556E9C"/>
    <w:rsid w:val="0055701F"/>
    <w:rsid w:val="00557713"/>
    <w:rsid w:val="00557784"/>
    <w:rsid w:val="0055781F"/>
    <w:rsid w:val="005603B6"/>
    <w:rsid w:val="005607BC"/>
    <w:rsid w:val="005611BE"/>
    <w:rsid w:val="00562256"/>
    <w:rsid w:val="005629B7"/>
    <w:rsid w:val="00562CDB"/>
    <w:rsid w:val="00563CDB"/>
    <w:rsid w:val="00563F49"/>
    <w:rsid w:val="00564157"/>
    <w:rsid w:val="005644E0"/>
    <w:rsid w:val="00564EB2"/>
    <w:rsid w:val="00564F30"/>
    <w:rsid w:val="005650D7"/>
    <w:rsid w:val="005651CD"/>
    <w:rsid w:val="0056648E"/>
    <w:rsid w:val="00566630"/>
    <w:rsid w:val="00566787"/>
    <w:rsid w:val="005668F7"/>
    <w:rsid w:val="00567B90"/>
    <w:rsid w:val="00567B91"/>
    <w:rsid w:val="005715D6"/>
    <w:rsid w:val="00571B79"/>
    <w:rsid w:val="00571C62"/>
    <w:rsid w:val="00571EFB"/>
    <w:rsid w:val="005721DA"/>
    <w:rsid w:val="00572BD9"/>
    <w:rsid w:val="00572E34"/>
    <w:rsid w:val="0057350F"/>
    <w:rsid w:val="00573A13"/>
    <w:rsid w:val="00573AFB"/>
    <w:rsid w:val="00574028"/>
    <w:rsid w:val="00574669"/>
    <w:rsid w:val="005747A9"/>
    <w:rsid w:val="00575F1F"/>
    <w:rsid w:val="00575FB8"/>
    <w:rsid w:val="005761F2"/>
    <w:rsid w:val="005766EE"/>
    <w:rsid w:val="005775E6"/>
    <w:rsid w:val="005777B3"/>
    <w:rsid w:val="00580183"/>
    <w:rsid w:val="0058024A"/>
    <w:rsid w:val="0058075B"/>
    <w:rsid w:val="00580A5D"/>
    <w:rsid w:val="0058121A"/>
    <w:rsid w:val="0058172F"/>
    <w:rsid w:val="00581976"/>
    <w:rsid w:val="00581EED"/>
    <w:rsid w:val="005820D7"/>
    <w:rsid w:val="005820E4"/>
    <w:rsid w:val="005823B3"/>
    <w:rsid w:val="005827B0"/>
    <w:rsid w:val="005831F7"/>
    <w:rsid w:val="00583890"/>
    <w:rsid w:val="00583929"/>
    <w:rsid w:val="0058496A"/>
    <w:rsid w:val="00584C7C"/>
    <w:rsid w:val="00585568"/>
    <w:rsid w:val="00585631"/>
    <w:rsid w:val="0058595C"/>
    <w:rsid w:val="00585A49"/>
    <w:rsid w:val="00585D00"/>
    <w:rsid w:val="0058615A"/>
    <w:rsid w:val="005862ED"/>
    <w:rsid w:val="005867E7"/>
    <w:rsid w:val="00586BD9"/>
    <w:rsid w:val="00586C06"/>
    <w:rsid w:val="0058714F"/>
    <w:rsid w:val="00587356"/>
    <w:rsid w:val="005878D6"/>
    <w:rsid w:val="00587D0C"/>
    <w:rsid w:val="00587F3C"/>
    <w:rsid w:val="00590114"/>
    <w:rsid w:val="00590AA5"/>
    <w:rsid w:val="00590AB2"/>
    <w:rsid w:val="00590FAA"/>
    <w:rsid w:val="00591076"/>
    <w:rsid w:val="005913F0"/>
    <w:rsid w:val="005915D6"/>
    <w:rsid w:val="0059219C"/>
    <w:rsid w:val="00592497"/>
    <w:rsid w:val="005925A2"/>
    <w:rsid w:val="0059320B"/>
    <w:rsid w:val="00593370"/>
    <w:rsid w:val="0059398B"/>
    <w:rsid w:val="00594094"/>
    <w:rsid w:val="00594C6F"/>
    <w:rsid w:val="00595128"/>
    <w:rsid w:val="00595688"/>
    <w:rsid w:val="00595A81"/>
    <w:rsid w:val="00596450"/>
    <w:rsid w:val="00596469"/>
    <w:rsid w:val="005964E5"/>
    <w:rsid w:val="005965F6"/>
    <w:rsid w:val="00596674"/>
    <w:rsid w:val="005969F0"/>
    <w:rsid w:val="00596AF2"/>
    <w:rsid w:val="00596C18"/>
    <w:rsid w:val="00596D67"/>
    <w:rsid w:val="00597161"/>
    <w:rsid w:val="005971FC"/>
    <w:rsid w:val="00597F1E"/>
    <w:rsid w:val="005A0489"/>
    <w:rsid w:val="005A0660"/>
    <w:rsid w:val="005A0D0A"/>
    <w:rsid w:val="005A0F55"/>
    <w:rsid w:val="005A11EF"/>
    <w:rsid w:val="005A1C66"/>
    <w:rsid w:val="005A2D65"/>
    <w:rsid w:val="005A2E80"/>
    <w:rsid w:val="005A2ED9"/>
    <w:rsid w:val="005A309F"/>
    <w:rsid w:val="005A3458"/>
    <w:rsid w:val="005A34C2"/>
    <w:rsid w:val="005A38BD"/>
    <w:rsid w:val="005A4170"/>
    <w:rsid w:val="005A43CD"/>
    <w:rsid w:val="005A467A"/>
    <w:rsid w:val="005A468F"/>
    <w:rsid w:val="005A4904"/>
    <w:rsid w:val="005A498A"/>
    <w:rsid w:val="005A49E0"/>
    <w:rsid w:val="005A4A59"/>
    <w:rsid w:val="005A523F"/>
    <w:rsid w:val="005A5F1C"/>
    <w:rsid w:val="005A61A0"/>
    <w:rsid w:val="005A63C0"/>
    <w:rsid w:val="005A667C"/>
    <w:rsid w:val="005A6AB4"/>
    <w:rsid w:val="005A6BBA"/>
    <w:rsid w:val="005A6C7B"/>
    <w:rsid w:val="005A6FF5"/>
    <w:rsid w:val="005A73F0"/>
    <w:rsid w:val="005A777E"/>
    <w:rsid w:val="005A77D0"/>
    <w:rsid w:val="005A7908"/>
    <w:rsid w:val="005A7971"/>
    <w:rsid w:val="005A7CFB"/>
    <w:rsid w:val="005B02F6"/>
    <w:rsid w:val="005B06D0"/>
    <w:rsid w:val="005B0B46"/>
    <w:rsid w:val="005B1423"/>
    <w:rsid w:val="005B19FD"/>
    <w:rsid w:val="005B1D71"/>
    <w:rsid w:val="005B230B"/>
    <w:rsid w:val="005B23A9"/>
    <w:rsid w:val="005B248B"/>
    <w:rsid w:val="005B24DC"/>
    <w:rsid w:val="005B2542"/>
    <w:rsid w:val="005B27FB"/>
    <w:rsid w:val="005B29FA"/>
    <w:rsid w:val="005B2D4D"/>
    <w:rsid w:val="005B2F48"/>
    <w:rsid w:val="005B325F"/>
    <w:rsid w:val="005B3508"/>
    <w:rsid w:val="005B37C4"/>
    <w:rsid w:val="005B38B0"/>
    <w:rsid w:val="005B3FF4"/>
    <w:rsid w:val="005B4CB8"/>
    <w:rsid w:val="005B5231"/>
    <w:rsid w:val="005B5287"/>
    <w:rsid w:val="005B5487"/>
    <w:rsid w:val="005B5C26"/>
    <w:rsid w:val="005B5C94"/>
    <w:rsid w:val="005B5F04"/>
    <w:rsid w:val="005B6286"/>
    <w:rsid w:val="005B6626"/>
    <w:rsid w:val="005B75A6"/>
    <w:rsid w:val="005B7827"/>
    <w:rsid w:val="005B7D43"/>
    <w:rsid w:val="005C0186"/>
    <w:rsid w:val="005C040F"/>
    <w:rsid w:val="005C0501"/>
    <w:rsid w:val="005C0F56"/>
    <w:rsid w:val="005C11AF"/>
    <w:rsid w:val="005C188C"/>
    <w:rsid w:val="005C1AC7"/>
    <w:rsid w:val="005C2009"/>
    <w:rsid w:val="005C2343"/>
    <w:rsid w:val="005C2354"/>
    <w:rsid w:val="005C2702"/>
    <w:rsid w:val="005C2999"/>
    <w:rsid w:val="005C29CC"/>
    <w:rsid w:val="005C3A57"/>
    <w:rsid w:val="005C3D18"/>
    <w:rsid w:val="005C4372"/>
    <w:rsid w:val="005C4489"/>
    <w:rsid w:val="005C4912"/>
    <w:rsid w:val="005C4E51"/>
    <w:rsid w:val="005C5082"/>
    <w:rsid w:val="005C50E4"/>
    <w:rsid w:val="005C5104"/>
    <w:rsid w:val="005C524F"/>
    <w:rsid w:val="005C52BE"/>
    <w:rsid w:val="005C5369"/>
    <w:rsid w:val="005C6038"/>
    <w:rsid w:val="005C67A8"/>
    <w:rsid w:val="005C68FE"/>
    <w:rsid w:val="005C6DF2"/>
    <w:rsid w:val="005D0754"/>
    <w:rsid w:val="005D0CB0"/>
    <w:rsid w:val="005D0D85"/>
    <w:rsid w:val="005D1054"/>
    <w:rsid w:val="005D1881"/>
    <w:rsid w:val="005D19B5"/>
    <w:rsid w:val="005D2E81"/>
    <w:rsid w:val="005D3287"/>
    <w:rsid w:val="005D3325"/>
    <w:rsid w:val="005D38E4"/>
    <w:rsid w:val="005D3CF3"/>
    <w:rsid w:val="005D3E54"/>
    <w:rsid w:val="005D40BC"/>
    <w:rsid w:val="005D40D3"/>
    <w:rsid w:val="005D433C"/>
    <w:rsid w:val="005D4404"/>
    <w:rsid w:val="005D48BE"/>
    <w:rsid w:val="005D4A9A"/>
    <w:rsid w:val="005D5E5D"/>
    <w:rsid w:val="005D61E4"/>
    <w:rsid w:val="005D6B41"/>
    <w:rsid w:val="005D6D2F"/>
    <w:rsid w:val="005D6F03"/>
    <w:rsid w:val="005D7AEF"/>
    <w:rsid w:val="005D7B73"/>
    <w:rsid w:val="005E0541"/>
    <w:rsid w:val="005E0890"/>
    <w:rsid w:val="005E0A76"/>
    <w:rsid w:val="005E0A83"/>
    <w:rsid w:val="005E0CCA"/>
    <w:rsid w:val="005E0DC6"/>
    <w:rsid w:val="005E142B"/>
    <w:rsid w:val="005E15B6"/>
    <w:rsid w:val="005E1A45"/>
    <w:rsid w:val="005E1ED2"/>
    <w:rsid w:val="005E2569"/>
    <w:rsid w:val="005E3013"/>
    <w:rsid w:val="005E3061"/>
    <w:rsid w:val="005E392A"/>
    <w:rsid w:val="005E4CDA"/>
    <w:rsid w:val="005E555F"/>
    <w:rsid w:val="005E5653"/>
    <w:rsid w:val="005E5AE1"/>
    <w:rsid w:val="005E5BF2"/>
    <w:rsid w:val="005E5D97"/>
    <w:rsid w:val="005E654C"/>
    <w:rsid w:val="005E6776"/>
    <w:rsid w:val="005E6822"/>
    <w:rsid w:val="005F0812"/>
    <w:rsid w:val="005F0976"/>
    <w:rsid w:val="005F0BEA"/>
    <w:rsid w:val="005F0CEA"/>
    <w:rsid w:val="005F0D05"/>
    <w:rsid w:val="005F0E26"/>
    <w:rsid w:val="005F0F4E"/>
    <w:rsid w:val="005F1343"/>
    <w:rsid w:val="005F1364"/>
    <w:rsid w:val="005F1BBE"/>
    <w:rsid w:val="005F205A"/>
    <w:rsid w:val="005F234A"/>
    <w:rsid w:val="005F2964"/>
    <w:rsid w:val="005F2AD5"/>
    <w:rsid w:val="005F3014"/>
    <w:rsid w:val="005F3037"/>
    <w:rsid w:val="005F3598"/>
    <w:rsid w:val="005F41D7"/>
    <w:rsid w:val="005F4215"/>
    <w:rsid w:val="005F42FF"/>
    <w:rsid w:val="005F4541"/>
    <w:rsid w:val="005F5170"/>
    <w:rsid w:val="005F5C18"/>
    <w:rsid w:val="005F61E3"/>
    <w:rsid w:val="005F69EC"/>
    <w:rsid w:val="005F6D53"/>
    <w:rsid w:val="005F736F"/>
    <w:rsid w:val="005F7755"/>
    <w:rsid w:val="005F79BA"/>
    <w:rsid w:val="005F7B4A"/>
    <w:rsid w:val="005F7F91"/>
    <w:rsid w:val="00600190"/>
    <w:rsid w:val="006004FD"/>
    <w:rsid w:val="0060070F"/>
    <w:rsid w:val="00600AC4"/>
    <w:rsid w:val="00600C16"/>
    <w:rsid w:val="00601366"/>
    <w:rsid w:val="00601477"/>
    <w:rsid w:val="0060154E"/>
    <w:rsid w:val="00601C9B"/>
    <w:rsid w:val="00602661"/>
    <w:rsid w:val="00602E17"/>
    <w:rsid w:val="00602ECA"/>
    <w:rsid w:val="006032CF"/>
    <w:rsid w:val="006039A6"/>
    <w:rsid w:val="00603DB5"/>
    <w:rsid w:val="00603DD9"/>
    <w:rsid w:val="0060400C"/>
    <w:rsid w:val="00604044"/>
    <w:rsid w:val="00604050"/>
    <w:rsid w:val="006043ED"/>
    <w:rsid w:val="006047AC"/>
    <w:rsid w:val="00604A32"/>
    <w:rsid w:val="00605964"/>
    <w:rsid w:val="00605AAF"/>
    <w:rsid w:val="00605D2D"/>
    <w:rsid w:val="0060653F"/>
    <w:rsid w:val="006066E2"/>
    <w:rsid w:val="00606928"/>
    <w:rsid w:val="00606C92"/>
    <w:rsid w:val="00606F5B"/>
    <w:rsid w:val="006070BF"/>
    <w:rsid w:val="00607629"/>
    <w:rsid w:val="0060789C"/>
    <w:rsid w:val="00607983"/>
    <w:rsid w:val="006079AD"/>
    <w:rsid w:val="00607D32"/>
    <w:rsid w:val="006105A5"/>
    <w:rsid w:val="00610D32"/>
    <w:rsid w:val="00610D45"/>
    <w:rsid w:val="00611082"/>
    <w:rsid w:val="00611179"/>
    <w:rsid w:val="006112A8"/>
    <w:rsid w:val="0061186F"/>
    <w:rsid w:val="006118D6"/>
    <w:rsid w:val="00611AC5"/>
    <w:rsid w:val="00611D3B"/>
    <w:rsid w:val="00611DB1"/>
    <w:rsid w:val="00611E36"/>
    <w:rsid w:val="00612075"/>
    <w:rsid w:val="0061211E"/>
    <w:rsid w:val="006121DB"/>
    <w:rsid w:val="00612C04"/>
    <w:rsid w:val="00612C27"/>
    <w:rsid w:val="00612DC2"/>
    <w:rsid w:val="00613942"/>
    <w:rsid w:val="0061479E"/>
    <w:rsid w:val="00614895"/>
    <w:rsid w:val="00614A7F"/>
    <w:rsid w:val="00614BF5"/>
    <w:rsid w:val="00615131"/>
    <w:rsid w:val="0061547E"/>
    <w:rsid w:val="00615C3B"/>
    <w:rsid w:val="00616511"/>
    <w:rsid w:val="00616D09"/>
    <w:rsid w:val="0061702E"/>
    <w:rsid w:val="00617103"/>
    <w:rsid w:val="00617E01"/>
    <w:rsid w:val="00617E20"/>
    <w:rsid w:val="00617E9B"/>
    <w:rsid w:val="006208E3"/>
    <w:rsid w:val="00620A07"/>
    <w:rsid w:val="006211BC"/>
    <w:rsid w:val="0062148C"/>
    <w:rsid w:val="006216F8"/>
    <w:rsid w:val="00621887"/>
    <w:rsid w:val="006225A0"/>
    <w:rsid w:val="006226CC"/>
    <w:rsid w:val="00622A8B"/>
    <w:rsid w:val="00622F24"/>
    <w:rsid w:val="00623CBD"/>
    <w:rsid w:val="00623CD8"/>
    <w:rsid w:val="006240AD"/>
    <w:rsid w:val="00624148"/>
    <w:rsid w:val="00624151"/>
    <w:rsid w:val="0062427C"/>
    <w:rsid w:val="006243B2"/>
    <w:rsid w:val="006244A0"/>
    <w:rsid w:val="00624512"/>
    <w:rsid w:val="0062468C"/>
    <w:rsid w:val="00624714"/>
    <w:rsid w:val="00624859"/>
    <w:rsid w:val="00625180"/>
    <w:rsid w:val="00625340"/>
    <w:rsid w:val="00625A90"/>
    <w:rsid w:val="00625D68"/>
    <w:rsid w:val="0062626D"/>
    <w:rsid w:val="00626BD3"/>
    <w:rsid w:val="00627038"/>
    <w:rsid w:val="0062776D"/>
    <w:rsid w:val="00627A14"/>
    <w:rsid w:val="00630466"/>
    <w:rsid w:val="0063062A"/>
    <w:rsid w:val="00630637"/>
    <w:rsid w:val="0063066A"/>
    <w:rsid w:val="00630A86"/>
    <w:rsid w:val="00631072"/>
    <w:rsid w:val="00631216"/>
    <w:rsid w:val="00631CE6"/>
    <w:rsid w:val="00631D88"/>
    <w:rsid w:val="00631E25"/>
    <w:rsid w:val="00631E78"/>
    <w:rsid w:val="00632969"/>
    <w:rsid w:val="00633291"/>
    <w:rsid w:val="00633909"/>
    <w:rsid w:val="0063432D"/>
    <w:rsid w:val="00634947"/>
    <w:rsid w:val="00634B6A"/>
    <w:rsid w:val="006350AA"/>
    <w:rsid w:val="0063523C"/>
    <w:rsid w:val="00635BE3"/>
    <w:rsid w:val="00635D66"/>
    <w:rsid w:val="00635E29"/>
    <w:rsid w:val="0063606F"/>
    <w:rsid w:val="00636470"/>
    <w:rsid w:val="006365B2"/>
    <w:rsid w:val="00636811"/>
    <w:rsid w:val="006368F8"/>
    <w:rsid w:val="00636B74"/>
    <w:rsid w:val="00637839"/>
    <w:rsid w:val="00637C4A"/>
    <w:rsid w:val="00637D9E"/>
    <w:rsid w:val="00637EB6"/>
    <w:rsid w:val="0064035D"/>
    <w:rsid w:val="0064054D"/>
    <w:rsid w:val="00640C0D"/>
    <w:rsid w:val="00641997"/>
    <w:rsid w:val="00641D3F"/>
    <w:rsid w:val="0064207C"/>
    <w:rsid w:val="006420CD"/>
    <w:rsid w:val="00642811"/>
    <w:rsid w:val="00642BFA"/>
    <w:rsid w:val="00642DF7"/>
    <w:rsid w:val="00642FCC"/>
    <w:rsid w:val="00643743"/>
    <w:rsid w:val="00643F23"/>
    <w:rsid w:val="00644259"/>
    <w:rsid w:val="006444C5"/>
    <w:rsid w:val="006448CD"/>
    <w:rsid w:val="00644B3E"/>
    <w:rsid w:val="006453C4"/>
    <w:rsid w:val="0064561D"/>
    <w:rsid w:val="006456DA"/>
    <w:rsid w:val="00645801"/>
    <w:rsid w:val="00645AF7"/>
    <w:rsid w:val="00645D3D"/>
    <w:rsid w:val="0064608B"/>
    <w:rsid w:val="00646723"/>
    <w:rsid w:val="00646A4F"/>
    <w:rsid w:val="00646AB6"/>
    <w:rsid w:val="00646B99"/>
    <w:rsid w:val="00646BF4"/>
    <w:rsid w:val="0064789E"/>
    <w:rsid w:val="00647C2A"/>
    <w:rsid w:val="00647ED1"/>
    <w:rsid w:val="00647F6C"/>
    <w:rsid w:val="0065043A"/>
    <w:rsid w:val="006507CD"/>
    <w:rsid w:val="0065086F"/>
    <w:rsid w:val="00650C43"/>
    <w:rsid w:val="00650D6A"/>
    <w:rsid w:val="00650DC4"/>
    <w:rsid w:val="00650E08"/>
    <w:rsid w:val="006515B9"/>
    <w:rsid w:val="006516B8"/>
    <w:rsid w:val="006517D6"/>
    <w:rsid w:val="00651B53"/>
    <w:rsid w:val="00652B03"/>
    <w:rsid w:val="00652B86"/>
    <w:rsid w:val="00652C4E"/>
    <w:rsid w:val="00653373"/>
    <w:rsid w:val="00653432"/>
    <w:rsid w:val="00653679"/>
    <w:rsid w:val="00653C20"/>
    <w:rsid w:val="00653D5E"/>
    <w:rsid w:val="00653EAC"/>
    <w:rsid w:val="0065579F"/>
    <w:rsid w:val="00655E8C"/>
    <w:rsid w:val="00656100"/>
    <w:rsid w:val="00656489"/>
    <w:rsid w:val="00656B21"/>
    <w:rsid w:val="00656D33"/>
    <w:rsid w:val="00660069"/>
    <w:rsid w:val="00660116"/>
    <w:rsid w:val="00660436"/>
    <w:rsid w:val="006604FE"/>
    <w:rsid w:val="00660F1D"/>
    <w:rsid w:val="00661139"/>
    <w:rsid w:val="00661617"/>
    <w:rsid w:val="006619A0"/>
    <w:rsid w:val="00661BBC"/>
    <w:rsid w:val="00661DF5"/>
    <w:rsid w:val="0066387E"/>
    <w:rsid w:val="00663B59"/>
    <w:rsid w:val="00663D70"/>
    <w:rsid w:val="00664068"/>
    <w:rsid w:val="00664834"/>
    <w:rsid w:val="00664981"/>
    <w:rsid w:val="00665071"/>
    <w:rsid w:val="0066514F"/>
    <w:rsid w:val="00666270"/>
    <w:rsid w:val="0066633E"/>
    <w:rsid w:val="0066646D"/>
    <w:rsid w:val="00667205"/>
    <w:rsid w:val="00667652"/>
    <w:rsid w:val="006677CD"/>
    <w:rsid w:val="00667EA0"/>
    <w:rsid w:val="00667F3E"/>
    <w:rsid w:val="00670743"/>
    <w:rsid w:val="0067085D"/>
    <w:rsid w:val="0067088A"/>
    <w:rsid w:val="00670B5D"/>
    <w:rsid w:val="00670F9A"/>
    <w:rsid w:val="00671B58"/>
    <w:rsid w:val="00672B27"/>
    <w:rsid w:val="006731C2"/>
    <w:rsid w:val="006731C9"/>
    <w:rsid w:val="00673238"/>
    <w:rsid w:val="006733C6"/>
    <w:rsid w:val="00673CFE"/>
    <w:rsid w:val="00673E01"/>
    <w:rsid w:val="00673F60"/>
    <w:rsid w:val="006742D9"/>
    <w:rsid w:val="00674954"/>
    <w:rsid w:val="00674B8F"/>
    <w:rsid w:val="00674EFA"/>
    <w:rsid w:val="006753CF"/>
    <w:rsid w:val="00675BA6"/>
    <w:rsid w:val="00675F39"/>
    <w:rsid w:val="006760D5"/>
    <w:rsid w:val="00676794"/>
    <w:rsid w:val="006769B5"/>
    <w:rsid w:val="00676A96"/>
    <w:rsid w:val="00676F1E"/>
    <w:rsid w:val="006775F2"/>
    <w:rsid w:val="00677E4B"/>
    <w:rsid w:val="00680009"/>
    <w:rsid w:val="00680152"/>
    <w:rsid w:val="00680294"/>
    <w:rsid w:val="00680D1A"/>
    <w:rsid w:val="006811B9"/>
    <w:rsid w:val="00681755"/>
    <w:rsid w:val="00681BC6"/>
    <w:rsid w:val="0068231E"/>
    <w:rsid w:val="00682633"/>
    <w:rsid w:val="00682AEE"/>
    <w:rsid w:val="006835D2"/>
    <w:rsid w:val="00683D45"/>
    <w:rsid w:val="00683DA9"/>
    <w:rsid w:val="00684328"/>
    <w:rsid w:val="006845A0"/>
    <w:rsid w:val="006847ED"/>
    <w:rsid w:val="00684EA8"/>
    <w:rsid w:val="00684ED2"/>
    <w:rsid w:val="006850A8"/>
    <w:rsid w:val="00685153"/>
    <w:rsid w:val="0068589B"/>
    <w:rsid w:val="00685D4B"/>
    <w:rsid w:val="00686AF5"/>
    <w:rsid w:val="00686E2E"/>
    <w:rsid w:val="0068734B"/>
    <w:rsid w:val="0068756D"/>
    <w:rsid w:val="006877C4"/>
    <w:rsid w:val="00687954"/>
    <w:rsid w:val="00687D79"/>
    <w:rsid w:val="00687FBC"/>
    <w:rsid w:val="00690071"/>
    <w:rsid w:val="00690281"/>
    <w:rsid w:val="0069041A"/>
    <w:rsid w:val="0069042E"/>
    <w:rsid w:val="006909E3"/>
    <w:rsid w:val="006910A5"/>
    <w:rsid w:val="006918B3"/>
    <w:rsid w:val="00691D42"/>
    <w:rsid w:val="00692584"/>
    <w:rsid w:val="00692671"/>
    <w:rsid w:val="00693239"/>
    <w:rsid w:val="0069387A"/>
    <w:rsid w:val="0069391F"/>
    <w:rsid w:val="00693CAD"/>
    <w:rsid w:val="00693FB5"/>
    <w:rsid w:val="0069419E"/>
    <w:rsid w:val="006949ED"/>
    <w:rsid w:val="00694AA4"/>
    <w:rsid w:val="006951B3"/>
    <w:rsid w:val="006952DD"/>
    <w:rsid w:val="0069578B"/>
    <w:rsid w:val="006957FA"/>
    <w:rsid w:val="00695E59"/>
    <w:rsid w:val="00695E80"/>
    <w:rsid w:val="006960B8"/>
    <w:rsid w:val="00696168"/>
    <w:rsid w:val="0069639C"/>
    <w:rsid w:val="0069679E"/>
    <w:rsid w:val="006969F7"/>
    <w:rsid w:val="00697107"/>
    <w:rsid w:val="0069791E"/>
    <w:rsid w:val="006A0CA6"/>
    <w:rsid w:val="006A0E8F"/>
    <w:rsid w:val="006A0F60"/>
    <w:rsid w:val="006A1AE8"/>
    <w:rsid w:val="006A24CC"/>
    <w:rsid w:val="006A2599"/>
    <w:rsid w:val="006A26BD"/>
    <w:rsid w:val="006A2962"/>
    <w:rsid w:val="006A2B04"/>
    <w:rsid w:val="006A3021"/>
    <w:rsid w:val="006A342E"/>
    <w:rsid w:val="006A34AE"/>
    <w:rsid w:val="006A3985"/>
    <w:rsid w:val="006A3CE0"/>
    <w:rsid w:val="006A40CD"/>
    <w:rsid w:val="006A444A"/>
    <w:rsid w:val="006A4796"/>
    <w:rsid w:val="006A4D32"/>
    <w:rsid w:val="006A5230"/>
    <w:rsid w:val="006A537E"/>
    <w:rsid w:val="006A5A86"/>
    <w:rsid w:val="006A5B89"/>
    <w:rsid w:val="006A6383"/>
    <w:rsid w:val="006A67DD"/>
    <w:rsid w:val="006A7488"/>
    <w:rsid w:val="006A7494"/>
    <w:rsid w:val="006A7618"/>
    <w:rsid w:val="006A7E51"/>
    <w:rsid w:val="006B0557"/>
    <w:rsid w:val="006B07C0"/>
    <w:rsid w:val="006B170B"/>
    <w:rsid w:val="006B1B9B"/>
    <w:rsid w:val="006B1D97"/>
    <w:rsid w:val="006B1E98"/>
    <w:rsid w:val="006B1F5B"/>
    <w:rsid w:val="006B2181"/>
    <w:rsid w:val="006B2202"/>
    <w:rsid w:val="006B2569"/>
    <w:rsid w:val="006B2727"/>
    <w:rsid w:val="006B290F"/>
    <w:rsid w:val="006B2BD7"/>
    <w:rsid w:val="006B2F6B"/>
    <w:rsid w:val="006B39F4"/>
    <w:rsid w:val="006B3B2F"/>
    <w:rsid w:val="006B4885"/>
    <w:rsid w:val="006B4AF5"/>
    <w:rsid w:val="006B507B"/>
    <w:rsid w:val="006B5484"/>
    <w:rsid w:val="006B588C"/>
    <w:rsid w:val="006B5F85"/>
    <w:rsid w:val="006B5FB5"/>
    <w:rsid w:val="006B6AFB"/>
    <w:rsid w:val="006B6B33"/>
    <w:rsid w:val="006B7303"/>
    <w:rsid w:val="006B7801"/>
    <w:rsid w:val="006B792C"/>
    <w:rsid w:val="006B79BF"/>
    <w:rsid w:val="006B7A24"/>
    <w:rsid w:val="006B7D30"/>
    <w:rsid w:val="006B7EEB"/>
    <w:rsid w:val="006C0276"/>
    <w:rsid w:val="006C0511"/>
    <w:rsid w:val="006C07E3"/>
    <w:rsid w:val="006C0C07"/>
    <w:rsid w:val="006C104A"/>
    <w:rsid w:val="006C1264"/>
    <w:rsid w:val="006C13B9"/>
    <w:rsid w:val="006C19CC"/>
    <w:rsid w:val="006C1C7C"/>
    <w:rsid w:val="006C2C0E"/>
    <w:rsid w:val="006C31F0"/>
    <w:rsid w:val="006C3330"/>
    <w:rsid w:val="006C33F0"/>
    <w:rsid w:val="006C3844"/>
    <w:rsid w:val="006C3C76"/>
    <w:rsid w:val="006C3D26"/>
    <w:rsid w:val="006C3EA6"/>
    <w:rsid w:val="006C436E"/>
    <w:rsid w:val="006C4583"/>
    <w:rsid w:val="006C498D"/>
    <w:rsid w:val="006C4B03"/>
    <w:rsid w:val="006C4B24"/>
    <w:rsid w:val="006C4DD3"/>
    <w:rsid w:val="006C5603"/>
    <w:rsid w:val="006C5705"/>
    <w:rsid w:val="006C6A50"/>
    <w:rsid w:val="006C6AEF"/>
    <w:rsid w:val="006C786E"/>
    <w:rsid w:val="006C7A87"/>
    <w:rsid w:val="006D058B"/>
    <w:rsid w:val="006D0656"/>
    <w:rsid w:val="006D06C7"/>
    <w:rsid w:val="006D14A7"/>
    <w:rsid w:val="006D1C7B"/>
    <w:rsid w:val="006D1EAE"/>
    <w:rsid w:val="006D1F43"/>
    <w:rsid w:val="006D2071"/>
    <w:rsid w:val="006D2138"/>
    <w:rsid w:val="006D2A35"/>
    <w:rsid w:val="006D3FB4"/>
    <w:rsid w:val="006D410D"/>
    <w:rsid w:val="006D4CCD"/>
    <w:rsid w:val="006D50D2"/>
    <w:rsid w:val="006D559E"/>
    <w:rsid w:val="006D572D"/>
    <w:rsid w:val="006D5BCF"/>
    <w:rsid w:val="006D6257"/>
    <w:rsid w:val="006D68C7"/>
    <w:rsid w:val="006D69F1"/>
    <w:rsid w:val="006D6E28"/>
    <w:rsid w:val="006D7C92"/>
    <w:rsid w:val="006E06B9"/>
    <w:rsid w:val="006E07AF"/>
    <w:rsid w:val="006E0F84"/>
    <w:rsid w:val="006E1567"/>
    <w:rsid w:val="006E1A72"/>
    <w:rsid w:val="006E2F58"/>
    <w:rsid w:val="006E3677"/>
    <w:rsid w:val="006E3721"/>
    <w:rsid w:val="006E38F0"/>
    <w:rsid w:val="006E3ECB"/>
    <w:rsid w:val="006E4456"/>
    <w:rsid w:val="006E51C7"/>
    <w:rsid w:val="006E53B6"/>
    <w:rsid w:val="006E56D2"/>
    <w:rsid w:val="006E5C7F"/>
    <w:rsid w:val="006E5DA9"/>
    <w:rsid w:val="006E5ED7"/>
    <w:rsid w:val="006E672A"/>
    <w:rsid w:val="006E6816"/>
    <w:rsid w:val="006E6C86"/>
    <w:rsid w:val="006E6DDC"/>
    <w:rsid w:val="006E6F6F"/>
    <w:rsid w:val="006E71C3"/>
    <w:rsid w:val="006E7D6A"/>
    <w:rsid w:val="006F0590"/>
    <w:rsid w:val="006F07D4"/>
    <w:rsid w:val="006F0A55"/>
    <w:rsid w:val="006F0C5A"/>
    <w:rsid w:val="006F10CC"/>
    <w:rsid w:val="006F118B"/>
    <w:rsid w:val="006F165D"/>
    <w:rsid w:val="006F19B4"/>
    <w:rsid w:val="006F2181"/>
    <w:rsid w:val="006F2259"/>
    <w:rsid w:val="006F25B9"/>
    <w:rsid w:val="006F2881"/>
    <w:rsid w:val="006F29D6"/>
    <w:rsid w:val="006F2B05"/>
    <w:rsid w:val="006F2C5C"/>
    <w:rsid w:val="006F2D8B"/>
    <w:rsid w:val="006F3365"/>
    <w:rsid w:val="006F36C5"/>
    <w:rsid w:val="006F3EB6"/>
    <w:rsid w:val="006F3FB5"/>
    <w:rsid w:val="006F4655"/>
    <w:rsid w:val="006F48BB"/>
    <w:rsid w:val="006F4B13"/>
    <w:rsid w:val="006F4C6B"/>
    <w:rsid w:val="006F4EA9"/>
    <w:rsid w:val="006F5486"/>
    <w:rsid w:val="006F5F8E"/>
    <w:rsid w:val="006F6028"/>
    <w:rsid w:val="006F60B4"/>
    <w:rsid w:val="006F6FF0"/>
    <w:rsid w:val="006F7021"/>
    <w:rsid w:val="006F70C6"/>
    <w:rsid w:val="006F72E4"/>
    <w:rsid w:val="006F746D"/>
    <w:rsid w:val="006F799E"/>
    <w:rsid w:val="006F7E21"/>
    <w:rsid w:val="0070035A"/>
    <w:rsid w:val="00700EF0"/>
    <w:rsid w:val="00700F3E"/>
    <w:rsid w:val="00700F96"/>
    <w:rsid w:val="00700FB2"/>
    <w:rsid w:val="00701FF1"/>
    <w:rsid w:val="00702053"/>
    <w:rsid w:val="007022A6"/>
    <w:rsid w:val="00702336"/>
    <w:rsid w:val="00703221"/>
    <w:rsid w:val="007032F7"/>
    <w:rsid w:val="007037F4"/>
    <w:rsid w:val="00703D50"/>
    <w:rsid w:val="00703F82"/>
    <w:rsid w:val="00704005"/>
    <w:rsid w:val="00704AC7"/>
    <w:rsid w:val="00704B21"/>
    <w:rsid w:val="0070555A"/>
    <w:rsid w:val="00705653"/>
    <w:rsid w:val="00705C42"/>
    <w:rsid w:val="00705DF1"/>
    <w:rsid w:val="00705E7D"/>
    <w:rsid w:val="007062EB"/>
    <w:rsid w:val="007064D4"/>
    <w:rsid w:val="00706DAC"/>
    <w:rsid w:val="00707B0F"/>
    <w:rsid w:val="00707C76"/>
    <w:rsid w:val="00707FAC"/>
    <w:rsid w:val="0071091D"/>
    <w:rsid w:val="00710AA0"/>
    <w:rsid w:val="00710B87"/>
    <w:rsid w:val="00711259"/>
    <w:rsid w:val="007119E6"/>
    <w:rsid w:val="00711F4A"/>
    <w:rsid w:val="00712501"/>
    <w:rsid w:val="00712675"/>
    <w:rsid w:val="00713166"/>
    <w:rsid w:val="00713518"/>
    <w:rsid w:val="00713715"/>
    <w:rsid w:val="00713B7A"/>
    <w:rsid w:val="00713F67"/>
    <w:rsid w:val="007141DE"/>
    <w:rsid w:val="00714695"/>
    <w:rsid w:val="00714D0B"/>
    <w:rsid w:val="00715076"/>
    <w:rsid w:val="00715A79"/>
    <w:rsid w:val="00715BA5"/>
    <w:rsid w:val="00715D1B"/>
    <w:rsid w:val="00715E9A"/>
    <w:rsid w:val="00716A03"/>
    <w:rsid w:val="00717651"/>
    <w:rsid w:val="00717880"/>
    <w:rsid w:val="007178AD"/>
    <w:rsid w:val="00717CD0"/>
    <w:rsid w:val="0072019A"/>
    <w:rsid w:val="00721310"/>
    <w:rsid w:val="007222AC"/>
    <w:rsid w:val="00722489"/>
    <w:rsid w:val="0072278D"/>
    <w:rsid w:val="00722D78"/>
    <w:rsid w:val="0072358A"/>
    <w:rsid w:val="007236BA"/>
    <w:rsid w:val="00724865"/>
    <w:rsid w:val="007257FC"/>
    <w:rsid w:val="007259F7"/>
    <w:rsid w:val="007262BF"/>
    <w:rsid w:val="00726FDE"/>
    <w:rsid w:val="00727406"/>
    <w:rsid w:val="007278BB"/>
    <w:rsid w:val="00727C92"/>
    <w:rsid w:val="00727E8D"/>
    <w:rsid w:val="00730E8C"/>
    <w:rsid w:val="00730FE2"/>
    <w:rsid w:val="00731258"/>
    <w:rsid w:val="007318EB"/>
    <w:rsid w:val="00731C4F"/>
    <w:rsid w:val="00731EFB"/>
    <w:rsid w:val="0073217B"/>
    <w:rsid w:val="007322EB"/>
    <w:rsid w:val="007323E9"/>
    <w:rsid w:val="007323ED"/>
    <w:rsid w:val="007326EC"/>
    <w:rsid w:val="00732BDE"/>
    <w:rsid w:val="00732C37"/>
    <w:rsid w:val="007347FD"/>
    <w:rsid w:val="00734A9D"/>
    <w:rsid w:val="00734C57"/>
    <w:rsid w:val="00735398"/>
    <w:rsid w:val="00736B72"/>
    <w:rsid w:val="00736C9E"/>
    <w:rsid w:val="0073720E"/>
    <w:rsid w:val="00737366"/>
    <w:rsid w:val="007379CA"/>
    <w:rsid w:val="00737EFB"/>
    <w:rsid w:val="0074057D"/>
    <w:rsid w:val="00740894"/>
    <w:rsid w:val="00740B66"/>
    <w:rsid w:val="0074182B"/>
    <w:rsid w:val="00741AAE"/>
    <w:rsid w:val="00742570"/>
    <w:rsid w:val="0074288B"/>
    <w:rsid w:val="007429F8"/>
    <w:rsid w:val="00742B6F"/>
    <w:rsid w:val="00742BCA"/>
    <w:rsid w:val="00743280"/>
    <w:rsid w:val="007432D1"/>
    <w:rsid w:val="007433AE"/>
    <w:rsid w:val="007435C6"/>
    <w:rsid w:val="00743770"/>
    <w:rsid w:val="00743909"/>
    <w:rsid w:val="00743EAC"/>
    <w:rsid w:val="007440AD"/>
    <w:rsid w:val="007441EC"/>
    <w:rsid w:val="00744DFD"/>
    <w:rsid w:val="00745549"/>
    <w:rsid w:val="00745611"/>
    <w:rsid w:val="00745971"/>
    <w:rsid w:val="007462DF"/>
    <w:rsid w:val="00746BA1"/>
    <w:rsid w:val="00746C48"/>
    <w:rsid w:val="00746C8F"/>
    <w:rsid w:val="00746D5D"/>
    <w:rsid w:val="00746F6E"/>
    <w:rsid w:val="0074725B"/>
    <w:rsid w:val="007475F4"/>
    <w:rsid w:val="00747628"/>
    <w:rsid w:val="0074793B"/>
    <w:rsid w:val="0074795A"/>
    <w:rsid w:val="007479E1"/>
    <w:rsid w:val="00747C16"/>
    <w:rsid w:val="00747E94"/>
    <w:rsid w:val="007500B3"/>
    <w:rsid w:val="00750583"/>
    <w:rsid w:val="00750C55"/>
    <w:rsid w:val="007510AD"/>
    <w:rsid w:val="00751C97"/>
    <w:rsid w:val="0075279C"/>
    <w:rsid w:val="0075281C"/>
    <w:rsid w:val="007531C4"/>
    <w:rsid w:val="0075364B"/>
    <w:rsid w:val="007536C0"/>
    <w:rsid w:val="00754A17"/>
    <w:rsid w:val="00754C72"/>
    <w:rsid w:val="00755607"/>
    <w:rsid w:val="0075564F"/>
    <w:rsid w:val="00755765"/>
    <w:rsid w:val="00755B6A"/>
    <w:rsid w:val="00755B76"/>
    <w:rsid w:val="00756A0E"/>
    <w:rsid w:val="007573B4"/>
    <w:rsid w:val="00757691"/>
    <w:rsid w:val="00757C65"/>
    <w:rsid w:val="00757D1C"/>
    <w:rsid w:val="00757EAD"/>
    <w:rsid w:val="00757FB4"/>
    <w:rsid w:val="0076002D"/>
    <w:rsid w:val="0076035E"/>
    <w:rsid w:val="00760515"/>
    <w:rsid w:val="00761056"/>
    <w:rsid w:val="0076118A"/>
    <w:rsid w:val="0076131F"/>
    <w:rsid w:val="007613E5"/>
    <w:rsid w:val="0076175A"/>
    <w:rsid w:val="00761846"/>
    <w:rsid w:val="00761DDA"/>
    <w:rsid w:val="00761FFE"/>
    <w:rsid w:val="00762D10"/>
    <w:rsid w:val="00762FCE"/>
    <w:rsid w:val="00763458"/>
    <w:rsid w:val="00763C53"/>
    <w:rsid w:val="007648C7"/>
    <w:rsid w:val="00764EF5"/>
    <w:rsid w:val="00765058"/>
    <w:rsid w:val="0076582F"/>
    <w:rsid w:val="00766467"/>
    <w:rsid w:val="00766707"/>
    <w:rsid w:val="00766B38"/>
    <w:rsid w:val="0076716E"/>
    <w:rsid w:val="0076717A"/>
    <w:rsid w:val="00767204"/>
    <w:rsid w:val="00767D09"/>
    <w:rsid w:val="00767D18"/>
    <w:rsid w:val="007704E4"/>
    <w:rsid w:val="007709AD"/>
    <w:rsid w:val="0077110A"/>
    <w:rsid w:val="00771879"/>
    <w:rsid w:val="00771F3E"/>
    <w:rsid w:val="00771FB2"/>
    <w:rsid w:val="0077260A"/>
    <w:rsid w:val="00772BDF"/>
    <w:rsid w:val="00772D18"/>
    <w:rsid w:val="00773595"/>
    <w:rsid w:val="007736EC"/>
    <w:rsid w:val="00774561"/>
    <w:rsid w:val="0077472E"/>
    <w:rsid w:val="007749FA"/>
    <w:rsid w:val="007753DA"/>
    <w:rsid w:val="00775F8F"/>
    <w:rsid w:val="0077616B"/>
    <w:rsid w:val="0077682C"/>
    <w:rsid w:val="007768AF"/>
    <w:rsid w:val="00777697"/>
    <w:rsid w:val="00777845"/>
    <w:rsid w:val="007778A8"/>
    <w:rsid w:val="007778FA"/>
    <w:rsid w:val="00777F0A"/>
    <w:rsid w:val="00780184"/>
    <w:rsid w:val="0078036F"/>
    <w:rsid w:val="00780411"/>
    <w:rsid w:val="00780631"/>
    <w:rsid w:val="00780AD1"/>
    <w:rsid w:val="00780B64"/>
    <w:rsid w:val="00781696"/>
    <w:rsid w:val="00781997"/>
    <w:rsid w:val="00782219"/>
    <w:rsid w:val="00782481"/>
    <w:rsid w:val="0078259F"/>
    <w:rsid w:val="007826A7"/>
    <w:rsid w:val="007826C2"/>
    <w:rsid w:val="0078271F"/>
    <w:rsid w:val="007828CE"/>
    <w:rsid w:val="00782F5F"/>
    <w:rsid w:val="007839E6"/>
    <w:rsid w:val="007843D5"/>
    <w:rsid w:val="007843E2"/>
    <w:rsid w:val="007847BC"/>
    <w:rsid w:val="00784886"/>
    <w:rsid w:val="007848B1"/>
    <w:rsid w:val="0078493A"/>
    <w:rsid w:val="00784AC5"/>
    <w:rsid w:val="00784ACF"/>
    <w:rsid w:val="007856FF"/>
    <w:rsid w:val="00785C8A"/>
    <w:rsid w:val="00786177"/>
    <w:rsid w:val="00786283"/>
    <w:rsid w:val="007869F4"/>
    <w:rsid w:val="00786A03"/>
    <w:rsid w:val="00787010"/>
    <w:rsid w:val="00787650"/>
    <w:rsid w:val="007876EB"/>
    <w:rsid w:val="007878DC"/>
    <w:rsid w:val="00787AD3"/>
    <w:rsid w:val="00787C8E"/>
    <w:rsid w:val="00787E0B"/>
    <w:rsid w:val="00790400"/>
    <w:rsid w:val="007910EB"/>
    <w:rsid w:val="00792079"/>
    <w:rsid w:val="007924D8"/>
    <w:rsid w:val="007927ED"/>
    <w:rsid w:val="00792857"/>
    <w:rsid w:val="00792C1D"/>
    <w:rsid w:val="007930AD"/>
    <w:rsid w:val="007932B1"/>
    <w:rsid w:val="007933B6"/>
    <w:rsid w:val="007937CF"/>
    <w:rsid w:val="00793A2C"/>
    <w:rsid w:val="00793C41"/>
    <w:rsid w:val="0079455C"/>
    <w:rsid w:val="00794751"/>
    <w:rsid w:val="00794C62"/>
    <w:rsid w:val="00794D16"/>
    <w:rsid w:val="0079506F"/>
    <w:rsid w:val="007950E9"/>
    <w:rsid w:val="007953FD"/>
    <w:rsid w:val="007958DF"/>
    <w:rsid w:val="00795924"/>
    <w:rsid w:val="00795C5C"/>
    <w:rsid w:val="00796351"/>
    <w:rsid w:val="007967F2"/>
    <w:rsid w:val="007969EF"/>
    <w:rsid w:val="0079704D"/>
    <w:rsid w:val="00797F7B"/>
    <w:rsid w:val="007A02E0"/>
    <w:rsid w:val="007A1146"/>
    <w:rsid w:val="007A12E0"/>
    <w:rsid w:val="007A13C3"/>
    <w:rsid w:val="007A1A67"/>
    <w:rsid w:val="007A2116"/>
    <w:rsid w:val="007A21EF"/>
    <w:rsid w:val="007A26A9"/>
    <w:rsid w:val="007A2BFE"/>
    <w:rsid w:val="007A2C92"/>
    <w:rsid w:val="007A319B"/>
    <w:rsid w:val="007A3565"/>
    <w:rsid w:val="007A37D0"/>
    <w:rsid w:val="007A3FA5"/>
    <w:rsid w:val="007A441D"/>
    <w:rsid w:val="007A4501"/>
    <w:rsid w:val="007A4F46"/>
    <w:rsid w:val="007A5153"/>
    <w:rsid w:val="007A52F6"/>
    <w:rsid w:val="007A532A"/>
    <w:rsid w:val="007A5652"/>
    <w:rsid w:val="007A566F"/>
    <w:rsid w:val="007A56D2"/>
    <w:rsid w:val="007A5ECA"/>
    <w:rsid w:val="007A5FEA"/>
    <w:rsid w:val="007A651D"/>
    <w:rsid w:val="007A66B6"/>
    <w:rsid w:val="007A6ED1"/>
    <w:rsid w:val="007A72F6"/>
    <w:rsid w:val="007A732F"/>
    <w:rsid w:val="007A7411"/>
    <w:rsid w:val="007A7508"/>
    <w:rsid w:val="007A7523"/>
    <w:rsid w:val="007A754E"/>
    <w:rsid w:val="007A762B"/>
    <w:rsid w:val="007A763E"/>
    <w:rsid w:val="007A7D2A"/>
    <w:rsid w:val="007A7EA1"/>
    <w:rsid w:val="007B07E8"/>
    <w:rsid w:val="007B0A12"/>
    <w:rsid w:val="007B150D"/>
    <w:rsid w:val="007B17ED"/>
    <w:rsid w:val="007B1C84"/>
    <w:rsid w:val="007B1F30"/>
    <w:rsid w:val="007B21BD"/>
    <w:rsid w:val="007B237D"/>
    <w:rsid w:val="007B2449"/>
    <w:rsid w:val="007B2589"/>
    <w:rsid w:val="007B335B"/>
    <w:rsid w:val="007B3DEB"/>
    <w:rsid w:val="007B4007"/>
    <w:rsid w:val="007B40C3"/>
    <w:rsid w:val="007B41C6"/>
    <w:rsid w:val="007B45F2"/>
    <w:rsid w:val="007B46BD"/>
    <w:rsid w:val="007B4735"/>
    <w:rsid w:val="007B5233"/>
    <w:rsid w:val="007B5792"/>
    <w:rsid w:val="007B591E"/>
    <w:rsid w:val="007B5991"/>
    <w:rsid w:val="007B5A37"/>
    <w:rsid w:val="007B6325"/>
    <w:rsid w:val="007B6449"/>
    <w:rsid w:val="007B668F"/>
    <w:rsid w:val="007B6F0F"/>
    <w:rsid w:val="007B6F45"/>
    <w:rsid w:val="007B6F48"/>
    <w:rsid w:val="007B74FB"/>
    <w:rsid w:val="007B75DE"/>
    <w:rsid w:val="007B77C9"/>
    <w:rsid w:val="007B7E96"/>
    <w:rsid w:val="007C0966"/>
    <w:rsid w:val="007C0D37"/>
    <w:rsid w:val="007C1365"/>
    <w:rsid w:val="007C155C"/>
    <w:rsid w:val="007C159B"/>
    <w:rsid w:val="007C1A40"/>
    <w:rsid w:val="007C1F93"/>
    <w:rsid w:val="007C206A"/>
    <w:rsid w:val="007C211C"/>
    <w:rsid w:val="007C2257"/>
    <w:rsid w:val="007C2F7B"/>
    <w:rsid w:val="007C30D7"/>
    <w:rsid w:val="007C330C"/>
    <w:rsid w:val="007C343D"/>
    <w:rsid w:val="007C3A51"/>
    <w:rsid w:val="007C3AC9"/>
    <w:rsid w:val="007C3F33"/>
    <w:rsid w:val="007C4033"/>
    <w:rsid w:val="007C4044"/>
    <w:rsid w:val="007C45FC"/>
    <w:rsid w:val="007C46DF"/>
    <w:rsid w:val="007C4BAC"/>
    <w:rsid w:val="007C4D3F"/>
    <w:rsid w:val="007C5E42"/>
    <w:rsid w:val="007C66C5"/>
    <w:rsid w:val="007C68A1"/>
    <w:rsid w:val="007C711D"/>
    <w:rsid w:val="007C7774"/>
    <w:rsid w:val="007D004B"/>
    <w:rsid w:val="007D03DA"/>
    <w:rsid w:val="007D0970"/>
    <w:rsid w:val="007D0D19"/>
    <w:rsid w:val="007D1540"/>
    <w:rsid w:val="007D17D4"/>
    <w:rsid w:val="007D1CBF"/>
    <w:rsid w:val="007D209A"/>
    <w:rsid w:val="007D2181"/>
    <w:rsid w:val="007D2439"/>
    <w:rsid w:val="007D264C"/>
    <w:rsid w:val="007D2B75"/>
    <w:rsid w:val="007D2D5C"/>
    <w:rsid w:val="007D349F"/>
    <w:rsid w:val="007D3B6D"/>
    <w:rsid w:val="007D3BF7"/>
    <w:rsid w:val="007D43B7"/>
    <w:rsid w:val="007D4735"/>
    <w:rsid w:val="007D4BB7"/>
    <w:rsid w:val="007D4DAA"/>
    <w:rsid w:val="007D4E0C"/>
    <w:rsid w:val="007D53F1"/>
    <w:rsid w:val="007D57F9"/>
    <w:rsid w:val="007D5924"/>
    <w:rsid w:val="007D6176"/>
    <w:rsid w:val="007D65BD"/>
    <w:rsid w:val="007D6632"/>
    <w:rsid w:val="007D69A3"/>
    <w:rsid w:val="007D6C44"/>
    <w:rsid w:val="007D6C56"/>
    <w:rsid w:val="007D6C65"/>
    <w:rsid w:val="007D6E56"/>
    <w:rsid w:val="007D73FE"/>
    <w:rsid w:val="007D7419"/>
    <w:rsid w:val="007D7C4E"/>
    <w:rsid w:val="007D7EBC"/>
    <w:rsid w:val="007E0F09"/>
    <w:rsid w:val="007E12B0"/>
    <w:rsid w:val="007E1AB6"/>
    <w:rsid w:val="007E1AC4"/>
    <w:rsid w:val="007E1F4F"/>
    <w:rsid w:val="007E1F8A"/>
    <w:rsid w:val="007E24CD"/>
    <w:rsid w:val="007E25A6"/>
    <w:rsid w:val="007E2B34"/>
    <w:rsid w:val="007E347E"/>
    <w:rsid w:val="007E36C4"/>
    <w:rsid w:val="007E3FEA"/>
    <w:rsid w:val="007E48C0"/>
    <w:rsid w:val="007E4C08"/>
    <w:rsid w:val="007E5238"/>
    <w:rsid w:val="007E5DBC"/>
    <w:rsid w:val="007E60DF"/>
    <w:rsid w:val="007E610A"/>
    <w:rsid w:val="007E61A1"/>
    <w:rsid w:val="007E64C7"/>
    <w:rsid w:val="007E664C"/>
    <w:rsid w:val="007E66B8"/>
    <w:rsid w:val="007E6AAA"/>
    <w:rsid w:val="007E6D25"/>
    <w:rsid w:val="007E7F54"/>
    <w:rsid w:val="007F0084"/>
    <w:rsid w:val="007F0273"/>
    <w:rsid w:val="007F0472"/>
    <w:rsid w:val="007F0BB2"/>
    <w:rsid w:val="007F0E20"/>
    <w:rsid w:val="007F1564"/>
    <w:rsid w:val="007F156D"/>
    <w:rsid w:val="007F2DC8"/>
    <w:rsid w:val="007F303C"/>
    <w:rsid w:val="007F359E"/>
    <w:rsid w:val="007F3DBC"/>
    <w:rsid w:val="007F3E5C"/>
    <w:rsid w:val="007F45A7"/>
    <w:rsid w:val="007F4824"/>
    <w:rsid w:val="007F54BE"/>
    <w:rsid w:val="007F636F"/>
    <w:rsid w:val="007F638B"/>
    <w:rsid w:val="007F6E39"/>
    <w:rsid w:val="007F6E74"/>
    <w:rsid w:val="007F727E"/>
    <w:rsid w:val="007F73F2"/>
    <w:rsid w:val="008003BD"/>
    <w:rsid w:val="008012A4"/>
    <w:rsid w:val="0080163F"/>
    <w:rsid w:val="008018FA"/>
    <w:rsid w:val="00801C39"/>
    <w:rsid w:val="00802027"/>
    <w:rsid w:val="0080218D"/>
    <w:rsid w:val="00802250"/>
    <w:rsid w:val="008022FF"/>
    <w:rsid w:val="0080242C"/>
    <w:rsid w:val="00802524"/>
    <w:rsid w:val="00802E7E"/>
    <w:rsid w:val="00803AE4"/>
    <w:rsid w:val="00804076"/>
    <w:rsid w:val="0080462B"/>
    <w:rsid w:val="0080480B"/>
    <w:rsid w:val="00804C85"/>
    <w:rsid w:val="00805756"/>
    <w:rsid w:val="00805FE8"/>
    <w:rsid w:val="00806745"/>
    <w:rsid w:val="00806902"/>
    <w:rsid w:val="008069C2"/>
    <w:rsid w:val="008070B5"/>
    <w:rsid w:val="008072D3"/>
    <w:rsid w:val="008073E7"/>
    <w:rsid w:val="0080760E"/>
    <w:rsid w:val="00807638"/>
    <w:rsid w:val="00807E85"/>
    <w:rsid w:val="00807F3B"/>
    <w:rsid w:val="0081049F"/>
    <w:rsid w:val="0081068A"/>
    <w:rsid w:val="00811192"/>
    <w:rsid w:val="008111FB"/>
    <w:rsid w:val="008124EF"/>
    <w:rsid w:val="00812929"/>
    <w:rsid w:val="00812962"/>
    <w:rsid w:val="00812D3B"/>
    <w:rsid w:val="00813116"/>
    <w:rsid w:val="008131E0"/>
    <w:rsid w:val="00813425"/>
    <w:rsid w:val="00813552"/>
    <w:rsid w:val="008141B1"/>
    <w:rsid w:val="0081420C"/>
    <w:rsid w:val="008142DA"/>
    <w:rsid w:val="00814725"/>
    <w:rsid w:val="00814D84"/>
    <w:rsid w:val="00814DFE"/>
    <w:rsid w:val="0081536B"/>
    <w:rsid w:val="00815656"/>
    <w:rsid w:val="00815DE0"/>
    <w:rsid w:val="00816261"/>
    <w:rsid w:val="008164C7"/>
    <w:rsid w:val="0081665A"/>
    <w:rsid w:val="00816E62"/>
    <w:rsid w:val="00817706"/>
    <w:rsid w:val="00817725"/>
    <w:rsid w:val="00817741"/>
    <w:rsid w:val="00817A15"/>
    <w:rsid w:val="00817AB7"/>
    <w:rsid w:val="00817C7C"/>
    <w:rsid w:val="00817FCA"/>
    <w:rsid w:val="00820ABF"/>
    <w:rsid w:val="00820C25"/>
    <w:rsid w:val="00820C57"/>
    <w:rsid w:val="00821C3D"/>
    <w:rsid w:val="00822165"/>
    <w:rsid w:val="008228EC"/>
    <w:rsid w:val="00822FCC"/>
    <w:rsid w:val="00823DFE"/>
    <w:rsid w:val="00823E39"/>
    <w:rsid w:val="00824AB0"/>
    <w:rsid w:val="00824B52"/>
    <w:rsid w:val="00824D86"/>
    <w:rsid w:val="00824EB0"/>
    <w:rsid w:val="008255EA"/>
    <w:rsid w:val="00825647"/>
    <w:rsid w:val="00825AE1"/>
    <w:rsid w:val="008263ED"/>
    <w:rsid w:val="0082654A"/>
    <w:rsid w:val="008269AD"/>
    <w:rsid w:val="00826FE5"/>
    <w:rsid w:val="00827021"/>
    <w:rsid w:val="0082725D"/>
    <w:rsid w:val="008275DD"/>
    <w:rsid w:val="008276D5"/>
    <w:rsid w:val="00827981"/>
    <w:rsid w:val="00827C3D"/>
    <w:rsid w:val="00827D12"/>
    <w:rsid w:val="00830436"/>
    <w:rsid w:val="00830625"/>
    <w:rsid w:val="00830EB2"/>
    <w:rsid w:val="00830EE6"/>
    <w:rsid w:val="008315FF"/>
    <w:rsid w:val="00832232"/>
    <w:rsid w:val="008327AC"/>
    <w:rsid w:val="00832DAC"/>
    <w:rsid w:val="008330AA"/>
    <w:rsid w:val="0083324D"/>
    <w:rsid w:val="00833499"/>
    <w:rsid w:val="00833EDF"/>
    <w:rsid w:val="00834422"/>
    <w:rsid w:val="00834639"/>
    <w:rsid w:val="00834D33"/>
    <w:rsid w:val="008351F9"/>
    <w:rsid w:val="008354CF"/>
    <w:rsid w:val="0083591C"/>
    <w:rsid w:val="00835B58"/>
    <w:rsid w:val="00835E86"/>
    <w:rsid w:val="00835EE8"/>
    <w:rsid w:val="0083630D"/>
    <w:rsid w:val="00836944"/>
    <w:rsid w:val="00836C0D"/>
    <w:rsid w:val="00836CAE"/>
    <w:rsid w:val="00836D66"/>
    <w:rsid w:val="00836E2E"/>
    <w:rsid w:val="00836EA8"/>
    <w:rsid w:val="00837469"/>
    <w:rsid w:val="0083755B"/>
    <w:rsid w:val="0083756F"/>
    <w:rsid w:val="00837CC9"/>
    <w:rsid w:val="00837D69"/>
    <w:rsid w:val="00837FA4"/>
    <w:rsid w:val="0084010B"/>
    <w:rsid w:val="00840BB6"/>
    <w:rsid w:val="008410BC"/>
    <w:rsid w:val="00841277"/>
    <w:rsid w:val="00841B94"/>
    <w:rsid w:val="00842434"/>
    <w:rsid w:val="008429FB"/>
    <w:rsid w:val="00843987"/>
    <w:rsid w:val="00843B26"/>
    <w:rsid w:val="00843D99"/>
    <w:rsid w:val="008444FD"/>
    <w:rsid w:val="00844611"/>
    <w:rsid w:val="008446A4"/>
    <w:rsid w:val="00844E28"/>
    <w:rsid w:val="008451EB"/>
    <w:rsid w:val="008453DD"/>
    <w:rsid w:val="00845B9A"/>
    <w:rsid w:val="00846241"/>
    <w:rsid w:val="00846633"/>
    <w:rsid w:val="008466DF"/>
    <w:rsid w:val="00846AFB"/>
    <w:rsid w:val="00846B74"/>
    <w:rsid w:val="00846FD8"/>
    <w:rsid w:val="00847304"/>
    <w:rsid w:val="008473E7"/>
    <w:rsid w:val="00847693"/>
    <w:rsid w:val="00847D8D"/>
    <w:rsid w:val="00850273"/>
    <w:rsid w:val="0085083F"/>
    <w:rsid w:val="00850DB5"/>
    <w:rsid w:val="00851289"/>
    <w:rsid w:val="0085144B"/>
    <w:rsid w:val="00851631"/>
    <w:rsid w:val="00851825"/>
    <w:rsid w:val="00851914"/>
    <w:rsid w:val="00851BBD"/>
    <w:rsid w:val="00851BC4"/>
    <w:rsid w:val="00851CEA"/>
    <w:rsid w:val="00851E49"/>
    <w:rsid w:val="008521F1"/>
    <w:rsid w:val="008523A3"/>
    <w:rsid w:val="00852791"/>
    <w:rsid w:val="00852A0B"/>
    <w:rsid w:val="00852F93"/>
    <w:rsid w:val="008532D1"/>
    <w:rsid w:val="00853792"/>
    <w:rsid w:val="00853EF6"/>
    <w:rsid w:val="00854028"/>
    <w:rsid w:val="008542FB"/>
    <w:rsid w:val="0085466E"/>
    <w:rsid w:val="008548AD"/>
    <w:rsid w:val="008559F5"/>
    <w:rsid w:val="00855C3D"/>
    <w:rsid w:val="00855CD2"/>
    <w:rsid w:val="00855E14"/>
    <w:rsid w:val="00855E84"/>
    <w:rsid w:val="00855FA6"/>
    <w:rsid w:val="00856C71"/>
    <w:rsid w:val="00856D0D"/>
    <w:rsid w:val="008574EF"/>
    <w:rsid w:val="00857531"/>
    <w:rsid w:val="00857541"/>
    <w:rsid w:val="0085760F"/>
    <w:rsid w:val="0085797C"/>
    <w:rsid w:val="008579A9"/>
    <w:rsid w:val="00857F7F"/>
    <w:rsid w:val="00860568"/>
    <w:rsid w:val="00860F6E"/>
    <w:rsid w:val="008610B6"/>
    <w:rsid w:val="008612F6"/>
    <w:rsid w:val="008619EB"/>
    <w:rsid w:val="00861F56"/>
    <w:rsid w:val="00861F62"/>
    <w:rsid w:val="008620CB"/>
    <w:rsid w:val="0086265F"/>
    <w:rsid w:val="008632C2"/>
    <w:rsid w:val="0086350C"/>
    <w:rsid w:val="00864495"/>
    <w:rsid w:val="008645EF"/>
    <w:rsid w:val="00864AB0"/>
    <w:rsid w:val="00864C23"/>
    <w:rsid w:val="00864C68"/>
    <w:rsid w:val="00865292"/>
    <w:rsid w:val="008657BA"/>
    <w:rsid w:val="008658BD"/>
    <w:rsid w:val="00865D1C"/>
    <w:rsid w:val="008664F1"/>
    <w:rsid w:val="008665CE"/>
    <w:rsid w:val="008667B0"/>
    <w:rsid w:val="00866CC6"/>
    <w:rsid w:val="00866E66"/>
    <w:rsid w:val="0086738E"/>
    <w:rsid w:val="008677E7"/>
    <w:rsid w:val="0086782C"/>
    <w:rsid w:val="00867FB1"/>
    <w:rsid w:val="0087007E"/>
    <w:rsid w:val="00870269"/>
    <w:rsid w:val="00870544"/>
    <w:rsid w:val="00870591"/>
    <w:rsid w:val="00870D07"/>
    <w:rsid w:val="00870E01"/>
    <w:rsid w:val="00870EE0"/>
    <w:rsid w:val="008710DE"/>
    <w:rsid w:val="008711ED"/>
    <w:rsid w:val="008712E9"/>
    <w:rsid w:val="008712F0"/>
    <w:rsid w:val="00871323"/>
    <w:rsid w:val="008713BC"/>
    <w:rsid w:val="00871515"/>
    <w:rsid w:val="00871F56"/>
    <w:rsid w:val="008722A9"/>
    <w:rsid w:val="0087235E"/>
    <w:rsid w:val="00872465"/>
    <w:rsid w:val="00872C2C"/>
    <w:rsid w:val="00872DA9"/>
    <w:rsid w:val="00872F95"/>
    <w:rsid w:val="008730CA"/>
    <w:rsid w:val="008731B6"/>
    <w:rsid w:val="0087366A"/>
    <w:rsid w:val="00873C05"/>
    <w:rsid w:val="008742EC"/>
    <w:rsid w:val="00874944"/>
    <w:rsid w:val="00875D62"/>
    <w:rsid w:val="008763D0"/>
    <w:rsid w:val="008764D3"/>
    <w:rsid w:val="00876745"/>
    <w:rsid w:val="00876B46"/>
    <w:rsid w:val="00876F02"/>
    <w:rsid w:val="008771AB"/>
    <w:rsid w:val="0087726A"/>
    <w:rsid w:val="00880014"/>
    <w:rsid w:val="008801A0"/>
    <w:rsid w:val="008801E4"/>
    <w:rsid w:val="0088096D"/>
    <w:rsid w:val="00881890"/>
    <w:rsid w:val="008821EC"/>
    <w:rsid w:val="00883AE2"/>
    <w:rsid w:val="0088458B"/>
    <w:rsid w:val="00884634"/>
    <w:rsid w:val="00884E10"/>
    <w:rsid w:val="008854D6"/>
    <w:rsid w:val="008855DD"/>
    <w:rsid w:val="008859D8"/>
    <w:rsid w:val="00885E9D"/>
    <w:rsid w:val="00885EE3"/>
    <w:rsid w:val="00886462"/>
    <w:rsid w:val="008866ED"/>
    <w:rsid w:val="008871A5"/>
    <w:rsid w:val="008876A6"/>
    <w:rsid w:val="008907B3"/>
    <w:rsid w:val="008913E8"/>
    <w:rsid w:val="0089174D"/>
    <w:rsid w:val="00891A0E"/>
    <w:rsid w:val="008922A6"/>
    <w:rsid w:val="00892325"/>
    <w:rsid w:val="008924C2"/>
    <w:rsid w:val="00892BB7"/>
    <w:rsid w:val="00892BD9"/>
    <w:rsid w:val="00892D5A"/>
    <w:rsid w:val="008931F3"/>
    <w:rsid w:val="00893A29"/>
    <w:rsid w:val="00893DC5"/>
    <w:rsid w:val="00893EEF"/>
    <w:rsid w:val="008944F9"/>
    <w:rsid w:val="0089470C"/>
    <w:rsid w:val="00894CD8"/>
    <w:rsid w:val="008955DF"/>
    <w:rsid w:val="00895692"/>
    <w:rsid w:val="008961E3"/>
    <w:rsid w:val="00896662"/>
    <w:rsid w:val="00896AE4"/>
    <w:rsid w:val="00896AEB"/>
    <w:rsid w:val="00896CFF"/>
    <w:rsid w:val="00896D42"/>
    <w:rsid w:val="00897359"/>
    <w:rsid w:val="008975AA"/>
    <w:rsid w:val="00897D58"/>
    <w:rsid w:val="008A0222"/>
    <w:rsid w:val="008A087F"/>
    <w:rsid w:val="008A09E5"/>
    <w:rsid w:val="008A0DE2"/>
    <w:rsid w:val="008A0FF1"/>
    <w:rsid w:val="008A1082"/>
    <w:rsid w:val="008A13C4"/>
    <w:rsid w:val="008A1416"/>
    <w:rsid w:val="008A1799"/>
    <w:rsid w:val="008A1C70"/>
    <w:rsid w:val="008A30E8"/>
    <w:rsid w:val="008A31EB"/>
    <w:rsid w:val="008A4736"/>
    <w:rsid w:val="008A479A"/>
    <w:rsid w:val="008A47B4"/>
    <w:rsid w:val="008A4D85"/>
    <w:rsid w:val="008A4F43"/>
    <w:rsid w:val="008A59F2"/>
    <w:rsid w:val="008A5A6F"/>
    <w:rsid w:val="008A5E08"/>
    <w:rsid w:val="008A5E3E"/>
    <w:rsid w:val="008A611E"/>
    <w:rsid w:val="008A6193"/>
    <w:rsid w:val="008A66C7"/>
    <w:rsid w:val="008A6BE7"/>
    <w:rsid w:val="008A7D73"/>
    <w:rsid w:val="008B05FB"/>
    <w:rsid w:val="008B0AE5"/>
    <w:rsid w:val="008B0E61"/>
    <w:rsid w:val="008B1A05"/>
    <w:rsid w:val="008B1B20"/>
    <w:rsid w:val="008B1B87"/>
    <w:rsid w:val="008B2794"/>
    <w:rsid w:val="008B2E0D"/>
    <w:rsid w:val="008B30A4"/>
    <w:rsid w:val="008B343B"/>
    <w:rsid w:val="008B3DAD"/>
    <w:rsid w:val="008B453D"/>
    <w:rsid w:val="008B4609"/>
    <w:rsid w:val="008B47EA"/>
    <w:rsid w:val="008B4B3D"/>
    <w:rsid w:val="008B4D5D"/>
    <w:rsid w:val="008B51A4"/>
    <w:rsid w:val="008B5377"/>
    <w:rsid w:val="008B5414"/>
    <w:rsid w:val="008B5672"/>
    <w:rsid w:val="008B5C2E"/>
    <w:rsid w:val="008B606F"/>
    <w:rsid w:val="008B6909"/>
    <w:rsid w:val="008B74C1"/>
    <w:rsid w:val="008B784D"/>
    <w:rsid w:val="008B7D48"/>
    <w:rsid w:val="008C0036"/>
    <w:rsid w:val="008C0285"/>
    <w:rsid w:val="008C0605"/>
    <w:rsid w:val="008C0854"/>
    <w:rsid w:val="008C0F94"/>
    <w:rsid w:val="008C1008"/>
    <w:rsid w:val="008C16CA"/>
    <w:rsid w:val="008C1A30"/>
    <w:rsid w:val="008C1D03"/>
    <w:rsid w:val="008C1DFB"/>
    <w:rsid w:val="008C1FBE"/>
    <w:rsid w:val="008C281D"/>
    <w:rsid w:val="008C28C5"/>
    <w:rsid w:val="008C3038"/>
    <w:rsid w:val="008C3256"/>
    <w:rsid w:val="008C35E2"/>
    <w:rsid w:val="008C3847"/>
    <w:rsid w:val="008C50ED"/>
    <w:rsid w:val="008C535C"/>
    <w:rsid w:val="008C5AD6"/>
    <w:rsid w:val="008C626D"/>
    <w:rsid w:val="008C67A1"/>
    <w:rsid w:val="008C6C65"/>
    <w:rsid w:val="008C6CAA"/>
    <w:rsid w:val="008C70C6"/>
    <w:rsid w:val="008C7759"/>
    <w:rsid w:val="008C77AA"/>
    <w:rsid w:val="008D05A5"/>
    <w:rsid w:val="008D0BC5"/>
    <w:rsid w:val="008D1132"/>
    <w:rsid w:val="008D1382"/>
    <w:rsid w:val="008D167A"/>
    <w:rsid w:val="008D1AEB"/>
    <w:rsid w:val="008D20A7"/>
    <w:rsid w:val="008D23A3"/>
    <w:rsid w:val="008D2A26"/>
    <w:rsid w:val="008D2A93"/>
    <w:rsid w:val="008D2C78"/>
    <w:rsid w:val="008D2D9D"/>
    <w:rsid w:val="008D3FD3"/>
    <w:rsid w:val="008D4B43"/>
    <w:rsid w:val="008D509B"/>
    <w:rsid w:val="008D534F"/>
    <w:rsid w:val="008D56B9"/>
    <w:rsid w:val="008D5DAA"/>
    <w:rsid w:val="008D6092"/>
    <w:rsid w:val="008D65B9"/>
    <w:rsid w:val="008D6B41"/>
    <w:rsid w:val="008D711A"/>
    <w:rsid w:val="008D733E"/>
    <w:rsid w:val="008D73AF"/>
    <w:rsid w:val="008D7EE3"/>
    <w:rsid w:val="008D7F6E"/>
    <w:rsid w:val="008E00F3"/>
    <w:rsid w:val="008E0138"/>
    <w:rsid w:val="008E0650"/>
    <w:rsid w:val="008E087F"/>
    <w:rsid w:val="008E08E0"/>
    <w:rsid w:val="008E0B2A"/>
    <w:rsid w:val="008E0D2C"/>
    <w:rsid w:val="008E0E43"/>
    <w:rsid w:val="008E1115"/>
    <w:rsid w:val="008E124B"/>
    <w:rsid w:val="008E1C64"/>
    <w:rsid w:val="008E2AAE"/>
    <w:rsid w:val="008E2D7D"/>
    <w:rsid w:val="008E2DAA"/>
    <w:rsid w:val="008E2DAB"/>
    <w:rsid w:val="008E2F47"/>
    <w:rsid w:val="008E30C9"/>
    <w:rsid w:val="008E33CB"/>
    <w:rsid w:val="008E3556"/>
    <w:rsid w:val="008E40BD"/>
    <w:rsid w:val="008E4426"/>
    <w:rsid w:val="008E4763"/>
    <w:rsid w:val="008E4C06"/>
    <w:rsid w:val="008E4CD6"/>
    <w:rsid w:val="008E5183"/>
    <w:rsid w:val="008E5321"/>
    <w:rsid w:val="008E5F98"/>
    <w:rsid w:val="008E65DA"/>
    <w:rsid w:val="008E6892"/>
    <w:rsid w:val="008E6A85"/>
    <w:rsid w:val="008E6EB0"/>
    <w:rsid w:val="008E7FA8"/>
    <w:rsid w:val="008F0C5A"/>
    <w:rsid w:val="008F0D07"/>
    <w:rsid w:val="008F1085"/>
    <w:rsid w:val="008F141A"/>
    <w:rsid w:val="008F194E"/>
    <w:rsid w:val="008F2B2A"/>
    <w:rsid w:val="008F31CD"/>
    <w:rsid w:val="008F3761"/>
    <w:rsid w:val="008F3816"/>
    <w:rsid w:val="008F4044"/>
    <w:rsid w:val="008F4093"/>
    <w:rsid w:val="008F451E"/>
    <w:rsid w:val="008F47C4"/>
    <w:rsid w:val="008F4A8A"/>
    <w:rsid w:val="008F4CE4"/>
    <w:rsid w:val="008F4FF0"/>
    <w:rsid w:val="008F5264"/>
    <w:rsid w:val="008F59B4"/>
    <w:rsid w:val="008F5F01"/>
    <w:rsid w:val="008F6804"/>
    <w:rsid w:val="008F690C"/>
    <w:rsid w:val="008F7164"/>
    <w:rsid w:val="008F71DB"/>
    <w:rsid w:val="008F7AAD"/>
    <w:rsid w:val="008F7DC5"/>
    <w:rsid w:val="0090005D"/>
    <w:rsid w:val="009008E5"/>
    <w:rsid w:val="00900C0A"/>
    <w:rsid w:val="00900F96"/>
    <w:rsid w:val="009013AE"/>
    <w:rsid w:val="0090185E"/>
    <w:rsid w:val="00901A8F"/>
    <w:rsid w:val="00902100"/>
    <w:rsid w:val="0090222B"/>
    <w:rsid w:val="0090224C"/>
    <w:rsid w:val="009025BC"/>
    <w:rsid w:val="00902656"/>
    <w:rsid w:val="00902DF9"/>
    <w:rsid w:val="00902E00"/>
    <w:rsid w:val="009039AC"/>
    <w:rsid w:val="009042F6"/>
    <w:rsid w:val="00904D29"/>
    <w:rsid w:val="0090566F"/>
    <w:rsid w:val="0090567F"/>
    <w:rsid w:val="00905BEB"/>
    <w:rsid w:val="00905CAC"/>
    <w:rsid w:val="0090604F"/>
    <w:rsid w:val="00906233"/>
    <w:rsid w:val="00906FAF"/>
    <w:rsid w:val="00907088"/>
    <w:rsid w:val="0090769D"/>
    <w:rsid w:val="00907CA7"/>
    <w:rsid w:val="009107A2"/>
    <w:rsid w:val="00910C9E"/>
    <w:rsid w:val="00910DA6"/>
    <w:rsid w:val="00910FA6"/>
    <w:rsid w:val="009121ED"/>
    <w:rsid w:val="009126D7"/>
    <w:rsid w:val="009129BD"/>
    <w:rsid w:val="00914036"/>
    <w:rsid w:val="00915279"/>
    <w:rsid w:val="00915D46"/>
    <w:rsid w:val="0091628D"/>
    <w:rsid w:val="00916328"/>
    <w:rsid w:val="009167FC"/>
    <w:rsid w:val="00916D9C"/>
    <w:rsid w:val="00917075"/>
    <w:rsid w:val="009173C2"/>
    <w:rsid w:val="00917DD2"/>
    <w:rsid w:val="00917F34"/>
    <w:rsid w:val="0092079C"/>
    <w:rsid w:val="009214E7"/>
    <w:rsid w:val="0092188B"/>
    <w:rsid w:val="00921A6A"/>
    <w:rsid w:val="00921B4E"/>
    <w:rsid w:val="00921B9A"/>
    <w:rsid w:val="00921D2C"/>
    <w:rsid w:val="00922119"/>
    <w:rsid w:val="009226C5"/>
    <w:rsid w:val="0092312A"/>
    <w:rsid w:val="00923271"/>
    <w:rsid w:val="0092345C"/>
    <w:rsid w:val="00923498"/>
    <w:rsid w:val="00923802"/>
    <w:rsid w:val="00923845"/>
    <w:rsid w:val="00923AF0"/>
    <w:rsid w:val="00923BCE"/>
    <w:rsid w:val="00923C95"/>
    <w:rsid w:val="00923D1A"/>
    <w:rsid w:val="009244CA"/>
    <w:rsid w:val="00924593"/>
    <w:rsid w:val="0092498A"/>
    <w:rsid w:val="00924B86"/>
    <w:rsid w:val="00924C96"/>
    <w:rsid w:val="00925488"/>
    <w:rsid w:val="00925570"/>
    <w:rsid w:val="009255CE"/>
    <w:rsid w:val="00926A44"/>
    <w:rsid w:val="00926A4A"/>
    <w:rsid w:val="00926CCC"/>
    <w:rsid w:val="00926DA9"/>
    <w:rsid w:val="009272BA"/>
    <w:rsid w:val="009275EC"/>
    <w:rsid w:val="0092772C"/>
    <w:rsid w:val="00930840"/>
    <w:rsid w:val="009308A3"/>
    <w:rsid w:val="009308B6"/>
    <w:rsid w:val="00930C49"/>
    <w:rsid w:val="009314DA"/>
    <w:rsid w:val="0093203B"/>
    <w:rsid w:val="00932C9C"/>
    <w:rsid w:val="00932F63"/>
    <w:rsid w:val="00933C8E"/>
    <w:rsid w:val="009346A0"/>
    <w:rsid w:val="00934E89"/>
    <w:rsid w:val="0093514D"/>
    <w:rsid w:val="009352B6"/>
    <w:rsid w:val="009352B8"/>
    <w:rsid w:val="00935306"/>
    <w:rsid w:val="00935829"/>
    <w:rsid w:val="009369FF"/>
    <w:rsid w:val="00936F23"/>
    <w:rsid w:val="009374DD"/>
    <w:rsid w:val="00937596"/>
    <w:rsid w:val="009377D4"/>
    <w:rsid w:val="00937BE9"/>
    <w:rsid w:val="00940AF9"/>
    <w:rsid w:val="00940FB2"/>
    <w:rsid w:val="00941138"/>
    <w:rsid w:val="00941F58"/>
    <w:rsid w:val="00941FDC"/>
    <w:rsid w:val="0094244B"/>
    <w:rsid w:val="009426D1"/>
    <w:rsid w:val="00942950"/>
    <w:rsid w:val="00942B84"/>
    <w:rsid w:val="00943193"/>
    <w:rsid w:val="00943537"/>
    <w:rsid w:val="00943585"/>
    <w:rsid w:val="00943A5B"/>
    <w:rsid w:val="00943A8A"/>
    <w:rsid w:val="009448D2"/>
    <w:rsid w:val="00944CF2"/>
    <w:rsid w:val="00944D80"/>
    <w:rsid w:val="0094561C"/>
    <w:rsid w:val="0094588B"/>
    <w:rsid w:val="00945D6E"/>
    <w:rsid w:val="0094669E"/>
    <w:rsid w:val="009469D4"/>
    <w:rsid w:val="00946C61"/>
    <w:rsid w:val="00947183"/>
    <w:rsid w:val="00947231"/>
    <w:rsid w:val="009475EA"/>
    <w:rsid w:val="00950069"/>
    <w:rsid w:val="009503E1"/>
    <w:rsid w:val="00950C9C"/>
    <w:rsid w:val="00950F80"/>
    <w:rsid w:val="00951092"/>
    <w:rsid w:val="009521BB"/>
    <w:rsid w:val="0095250B"/>
    <w:rsid w:val="00952649"/>
    <w:rsid w:val="0095291E"/>
    <w:rsid w:val="0095296D"/>
    <w:rsid w:val="00952AD7"/>
    <w:rsid w:val="00952D12"/>
    <w:rsid w:val="00952FCA"/>
    <w:rsid w:val="0095333C"/>
    <w:rsid w:val="00953A45"/>
    <w:rsid w:val="00953AF2"/>
    <w:rsid w:val="00953DDD"/>
    <w:rsid w:val="0095406C"/>
    <w:rsid w:val="009541CA"/>
    <w:rsid w:val="00954693"/>
    <w:rsid w:val="009549DC"/>
    <w:rsid w:val="00954FA1"/>
    <w:rsid w:val="00955168"/>
    <w:rsid w:val="0095523D"/>
    <w:rsid w:val="00955644"/>
    <w:rsid w:val="009557CB"/>
    <w:rsid w:val="00955CC6"/>
    <w:rsid w:val="00955ED7"/>
    <w:rsid w:val="0095633B"/>
    <w:rsid w:val="00956399"/>
    <w:rsid w:val="00956855"/>
    <w:rsid w:val="00956983"/>
    <w:rsid w:val="009569E3"/>
    <w:rsid w:val="00956F31"/>
    <w:rsid w:val="00957317"/>
    <w:rsid w:val="009577B1"/>
    <w:rsid w:val="009606A2"/>
    <w:rsid w:val="00960970"/>
    <w:rsid w:val="00960A44"/>
    <w:rsid w:val="00962419"/>
    <w:rsid w:val="00962F6B"/>
    <w:rsid w:val="009630A0"/>
    <w:rsid w:val="009633E3"/>
    <w:rsid w:val="00963813"/>
    <w:rsid w:val="00963998"/>
    <w:rsid w:val="00963D46"/>
    <w:rsid w:val="009642CA"/>
    <w:rsid w:val="009645AC"/>
    <w:rsid w:val="00964623"/>
    <w:rsid w:val="00964685"/>
    <w:rsid w:val="0096474A"/>
    <w:rsid w:val="00964754"/>
    <w:rsid w:val="0096489D"/>
    <w:rsid w:val="0096492C"/>
    <w:rsid w:val="00964A30"/>
    <w:rsid w:val="00964DA4"/>
    <w:rsid w:val="009653DB"/>
    <w:rsid w:val="00965445"/>
    <w:rsid w:val="00966514"/>
    <w:rsid w:val="00966751"/>
    <w:rsid w:val="00967483"/>
    <w:rsid w:val="009676DA"/>
    <w:rsid w:val="00967900"/>
    <w:rsid w:val="00967D4C"/>
    <w:rsid w:val="00967E6B"/>
    <w:rsid w:val="0097008F"/>
    <w:rsid w:val="009704A4"/>
    <w:rsid w:val="00970865"/>
    <w:rsid w:val="00970AA8"/>
    <w:rsid w:val="00970D42"/>
    <w:rsid w:val="009714F3"/>
    <w:rsid w:val="00971892"/>
    <w:rsid w:val="00971EF2"/>
    <w:rsid w:val="00972241"/>
    <w:rsid w:val="009723CC"/>
    <w:rsid w:val="0097295A"/>
    <w:rsid w:val="00973B25"/>
    <w:rsid w:val="009741A2"/>
    <w:rsid w:val="00974431"/>
    <w:rsid w:val="00974B98"/>
    <w:rsid w:val="00974BD8"/>
    <w:rsid w:val="00974D82"/>
    <w:rsid w:val="00974FD0"/>
    <w:rsid w:val="00975191"/>
    <w:rsid w:val="00975245"/>
    <w:rsid w:val="00975DCE"/>
    <w:rsid w:val="00975E7B"/>
    <w:rsid w:val="00976DE0"/>
    <w:rsid w:val="009778A1"/>
    <w:rsid w:val="0098006C"/>
    <w:rsid w:val="00980364"/>
    <w:rsid w:val="00980509"/>
    <w:rsid w:val="00980530"/>
    <w:rsid w:val="009809EA"/>
    <w:rsid w:val="009813F5"/>
    <w:rsid w:val="00981EFA"/>
    <w:rsid w:val="00981F48"/>
    <w:rsid w:val="00981F69"/>
    <w:rsid w:val="00983AB5"/>
    <w:rsid w:val="00983EDB"/>
    <w:rsid w:val="00983FE7"/>
    <w:rsid w:val="009841B3"/>
    <w:rsid w:val="00984907"/>
    <w:rsid w:val="00984F38"/>
    <w:rsid w:val="00985683"/>
    <w:rsid w:val="0098585D"/>
    <w:rsid w:val="009864B0"/>
    <w:rsid w:val="00986612"/>
    <w:rsid w:val="00986AA0"/>
    <w:rsid w:val="00986D56"/>
    <w:rsid w:val="00986E0D"/>
    <w:rsid w:val="0098781F"/>
    <w:rsid w:val="00987DB7"/>
    <w:rsid w:val="00987E2F"/>
    <w:rsid w:val="00987FD6"/>
    <w:rsid w:val="00990416"/>
    <w:rsid w:val="0099044A"/>
    <w:rsid w:val="00990556"/>
    <w:rsid w:val="009906C2"/>
    <w:rsid w:val="00990903"/>
    <w:rsid w:val="00990BF2"/>
    <w:rsid w:val="00990DA0"/>
    <w:rsid w:val="00991528"/>
    <w:rsid w:val="009918CE"/>
    <w:rsid w:val="00991991"/>
    <w:rsid w:val="0099219E"/>
    <w:rsid w:val="0099283C"/>
    <w:rsid w:val="00992964"/>
    <w:rsid w:val="00992E43"/>
    <w:rsid w:val="00992F99"/>
    <w:rsid w:val="00992FC1"/>
    <w:rsid w:val="009932BA"/>
    <w:rsid w:val="00993435"/>
    <w:rsid w:val="00993754"/>
    <w:rsid w:val="00993AFE"/>
    <w:rsid w:val="00994059"/>
    <w:rsid w:val="00994140"/>
    <w:rsid w:val="00994365"/>
    <w:rsid w:val="00994448"/>
    <w:rsid w:val="00994623"/>
    <w:rsid w:val="00994DAE"/>
    <w:rsid w:val="00994F39"/>
    <w:rsid w:val="0099553C"/>
    <w:rsid w:val="00995877"/>
    <w:rsid w:val="009958F5"/>
    <w:rsid w:val="00995B69"/>
    <w:rsid w:val="00995E1B"/>
    <w:rsid w:val="00995F6E"/>
    <w:rsid w:val="00996385"/>
    <w:rsid w:val="00996B11"/>
    <w:rsid w:val="00996B1D"/>
    <w:rsid w:val="009970DA"/>
    <w:rsid w:val="00997418"/>
    <w:rsid w:val="00997740"/>
    <w:rsid w:val="009977F9"/>
    <w:rsid w:val="00997F62"/>
    <w:rsid w:val="009A0252"/>
    <w:rsid w:val="009A128C"/>
    <w:rsid w:val="009A1316"/>
    <w:rsid w:val="009A15D0"/>
    <w:rsid w:val="009A1B27"/>
    <w:rsid w:val="009A1B9D"/>
    <w:rsid w:val="009A1C4F"/>
    <w:rsid w:val="009A1FB5"/>
    <w:rsid w:val="009A2863"/>
    <w:rsid w:val="009A3393"/>
    <w:rsid w:val="009A3605"/>
    <w:rsid w:val="009A3B04"/>
    <w:rsid w:val="009A3C48"/>
    <w:rsid w:val="009A3F93"/>
    <w:rsid w:val="009A4346"/>
    <w:rsid w:val="009A45E6"/>
    <w:rsid w:val="009A4625"/>
    <w:rsid w:val="009A4683"/>
    <w:rsid w:val="009A492C"/>
    <w:rsid w:val="009A5461"/>
    <w:rsid w:val="009A58D2"/>
    <w:rsid w:val="009A5A14"/>
    <w:rsid w:val="009A5B0E"/>
    <w:rsid w:val="009A6FDF"/>
    <w:rsid w:val="009A7C10"/>
    <w:rsid w:val="009A7D0B"/>
    <w:rsid w:val="009A7EC8"/>
    <w:rsid w:val="009B0FB8"/>
    <w:rsid w:val="009B10DE"/>
    <w:rsid w:val="009B1128"/>
    <w:rsid w:val="009B1873"/>
    <w:rsid w:val="009B1C4C"/>
    <w:rsid w:val="009B1F97"/>
    <w:rsid w:val="009B2425"/>
    <w:rsid w:val="009B32B1"/>
    <w:rsid w:val="009B34EB"/>
    <w:rsid w:val="009B38F5"/>
    <w:rsid w:val="009B3AB8"/>
    <w:rsid w:val="009B4E2C"/>
    <w:rsid w:val="009B5C32"/>
    <w:rsid w:val="009B6127"/>
    <w:rsid w:val="009B6D28"/>
    <w:rsid w:val="009B6E8C"/>
    <w:rsid w:val="009B6F5C"/>
    <w:rsid w:val="009B79B8"/>
    <w:rsid w:val="009B7FA1"/>
    <w:rsid w:val="009C0067"/>
    <w:rsid w:val="009C048B"/>
    <w:rsid w:val="009C09D2"/>
    <w:rsid w:val="009C0A86"/>
    <w:rsid w:val="009C18A5"/>
    <w:rsid w:val="009C1F99"/>
    <w:rsid w:val="009C2037"/>
    <w:rsid w:val="009C277A"/>
    <w:rsid w:val="009C2CE6"/>
    <w:rsid w:val="009C30A8"/>
    <w:rsid w:val="009C37EF"/>
    <w:rsid w:val="009C3868"/>
    <w:rsid w:val="009C3BC5"/>
    <w:rsid w:val="009C453A"/>
    <w:rsid w:val="009C4D99"/>
    <w:rsid w:val="009C5664"/>
    <w:rsid w:val="009C5840"/>
    <w:rsid w:val="009C5C77"/>
    <w:rsid w:val="009C5FF3"/>
    <w:rsid w:val="009C6838"/>
    <w:rsid w:val="009C6ACB"/>
    <w:rsid w:val="009C6FF6"/>
    <w:rsid w:val="009C713D"/>
    <w:rsid w:val="009C7177"/>
    <w:rsid w:val="009C7689"/>
    <w:rsid w:val="009C7CE3"/>
    <w:rsid w:val="009C7DF6"/>
    <w:rsid w:val="009D07CE"/>
    <w:rsid w:val="009D0D1E"/>
    <w:rsid w:val="009D0D88"/>
    <w:rsid w:val="009D109A"/>
    <w:rsid w:val="009D15EC"/>
    <w:rsid w:val="009D1CF1"/>
    <w:rsid w:val="009D2041"/>
    <w:rsid w:val="009D205E"/>
    <w:rsid w:val="009D2076"/>
    <w:rsid w:val="009D2E7D"/>
    <w:rsid w:val="009D3240"/>
    <w:rsid w:val="009D3280"/>
    <w:rsid w:val="009D3619"/>
    <w:rsid w:val="009D3751"/>
    <w:rsid w:val="009D3A61"/>
    <w:rsid w:val="009D3B43"/>
    <w:rsid w:val="009D3D63"/>
    <w:rsid w:val="009D404B"/>
    <w:rsid w:val="009D442B"/>
    <w:rsid w:val="009D484A"/>
    <w:rsid w:val="009D4938"/>
    <w:rsid w:val="009D4CEB"/>
    <w:rsid w:val="009D4D8A"/>
    <w:rsid w:val="009D54E4"/>
    <w:rsid w:val="009D5A98"/>
    <w:rsid w:val="009D6A66"/>
    <w:rsid w:val="009D71D3"/>
    <w:rsid w:val="009D7C7C"/>
    <w:rsid w:val="009E097A"/>
    <w:rsid w:val="009E0BC1"/>
    <w:rsid w:val="009E0C90"/>
    <w:rsid w:val="009E12A9"/>
    <w:rsid w:val="009E15DC"/>
    <w:rsid w:val="009E1999"/>
    <w:rsid w:val="009E1C3B"/>
    <w:rsid w:val="009E24C5"/>
    <w:rsid w:val="009E27AF"/>
    <w:rsid w:val="009E27BB"/>
    <w:rsid w:val="009E28C4"/>
    <w:rsid w:val="009E293C"/>
    <w:rsid w:val="009E2FB1"/>
    <w:rsid w:val="009E3500"/>
    <w:rsid w:val="009E3570"/>
    <w:rsid w:val="009E3DEF"/>
    <w:rsid w:val="009E40BA"/>
    <w:rsid w:val="009E40E9"/>
    <w:rsid w:val="009E486D"/>
    <w:rsid w:val="009E4CDC"/>
    <w:rsid w:val="009E4D37"/>
    <w:rsid w:val="009E4DC2"/>
    <w:rsid w:val="009E54D5"/>
    <w:rsid w:val="009E55B5"/>
    <w:rsid w:val="009E5623"/>
    <w:rsid w:val="009E5AF4"/>
    <w:rsid w:val="009E5B57"/>
    <w:rsid w:val="009E659C"/>
    <w:rsid w:val="009E6896"/>
    <w:rsid w:val="009E68BF"/>
    <w:rsid w:val="009E6C20"/>
    <w:rsid w:val="009E6DC0"/>
    <w:rsid w:val="009E700F"/>
    <w:rsid w:val="009E71E6"/>
    <w:rsid w:val="009E7650"/>
    <w:rsid w:val="009E772F"/>
    <w:rsid w:val="009F0AB2"/>
    <w:rsid w:val="009F0B37"/>
    <w:rsid w:val="009F1130"/>
    <w:rsid w:val="009F12B9"/>
    <w:rsid w:val="009F17B1"/>
    <w:rsid w:val="009F1FD2"/>
    <w:rsid w:val="009F2040"/>
    <w:rsid w:val="009F2782"/>
    <w:rsid w:val="009F2839"/>
    <w:rsid w:val="009F2DBC"/>
    <w:rsid w:val="009F3088"/>
    <w:rsid w:val="009F33F7"/>
    <w:rsid w:val="009F3E4A"/>
    <w:rsid w:val="009F407A"/>
    <w:rsid w:val="009F414C"/>
    <w:rsid w:val="009F41B2"/>
    <w:rsid w:val="009F44A1"/>
    <w:rsid w:val="009F4FA0"/>
    <w:rsid w:val="009F532B"/>
    <w:rsid w:val="009F58C5"/>
    <w:rsid w:val="009F5992"/>
    <w:rsid w:val="009F5B3B"/>
    <w:rsid w:val="009F5C83"/>
    <w:rsid w:val="009F5E48"/>
    <w:rsid w:val="009F5E70"/>
    <w:rsid w:val="009F6261"/>
    <w:rsid w:val="009F6B20"/>
    <w:rsid w:val="009F6EA1"/>
    <w:rsid w:val="009F6FB0"/>
    <w:rsid w:val="009F71B9"/>
    <w:rsid w:val="009F7675"/>
    <w:rsid w:val="009F7B6C"/>
    <w:rsid w:val="009F7FC3"/>
    <w:rsid w:val="00A00479"/>
    <w:rsid w:val="00A005CC"/>
    <w:rsid w:val="00A0060E"/>
    <w:rsid w:val="00A006D4"/>
    <w:rsid w:val="00A00953"/>
    <w:rsid w:val="00A010A3"/>
    <w:rsid w:val="00A01127"/>
    <w:rsid w:val="00A0136F"/>
    <w:rsid w:val="00A0148A"/>
    <w:rsid w:val="00A01BCE"/>
    <w:rsid w:val="00A01C8A"/>
    <w:rsid w:val="00A01F35"/>
    <w:rsid w:val="00A03182"/>
    <w:rsid w:val="00A03CE4"/>
    <w:rsid w:val="00A0457F"/>
    <w:rsid w:val="00A056E1"/>
    <w:rsid w:val="00A059AE"/>
    <w:rsid w:val="00A066CB"/>
    <w:rsid w:val="00A066D4"/>
    <w:rsid w:val="00A06B78"/>
    <w:rsid w:val="00A06BF9"/>
    <w:rsid w:val="00A0766B"/>
    <w:rsid w:val="00A077AB"/>
    <w:rsid w:val="00A07991"/>
    <w:rsid w:val="00A07A54"/>
    <w:rsid w:val="00A07BEA"/>
    <w:rsid w:val="00A100A9"/>
    <w:rsid w:val="00A10579"/>
    <w:rsid w:val="00A106F0"/>
    <w:rsid w:val="00A11052"/>
    <w:rsid w:val="00A1107F"/>
    <w:rsid w:val="00A1163A"/>
    <w:rsid w:val="00A11893"/>
    <w:rsid w:val="00A11CAA"/>
    <w:rsid w:val="00A1288F"/>
    <w:rsid w:val="00A12AE1"/>
    <w:rsid w:val="00A12F04"/>
    <w:rsid w:val="00A13584"/>
    <w:rsid w:val="00A13BEB"/>
    <w:rsid w:val="00A14881"/>
    <w:rsid w:val="00A14907"/>
    <w:rsid w:val="00A14FEF"/>
    <w:rsid w:val="00A152FE"/>
    <w:rsid w:val="00A1550B"/>
    <w:rsid w:val="00A155D5"/>
    <w:rsid w:val="00A163D9"/>
    <w:rsid w:val="00A168AE"/>
    <w:rsid w:val="00A16A39"/>
    <w:rsid w:val="00A16B93"/>
    <w:rsid w:val="00A16F03"/>
    <w:rsid w:val="00A16FBB"/>
    <w:rsid w:val="00A17605"/>
    <w:rsid w:val="00A20108"/>
    <w:rsid w:val="00A2048E"/>
    <w:rsid w:val="00A207F9"/>
    <w:rsid w:val="00A21427"/>
    <w:rsid w:val="00A21478"/>
    <w:rsid w:val="00A21506"/>
    <w:rsid w:val="00A22459"/>
    <w:rsid w:val="00A227A3"/>
    <w:rsid w:val="00A22AD2"/>
    <w:rsid w:val="00A22C04"/>
    <w:rsid w:val="00A2302B"/>
    <w:rsid w:val="00A23259"/>
    <w:rsid w:val="00A23299"/>
    <w:rsid w:val="00A23329"/>
    <w:rsid w:val="00A23DE8"/>
    <w:rsid w:val="00A24398"/>
    <w:rsid w:val="00A244E5"/>
    <w:rsid w:val="00A24C07"/>
    <w:rsid w:val="00A24CE0"/>
    <w:rsid w:val="00A24DD5"/>
    <w:rsid w:val="00A24FFE"/>
    <w:rsid w:val="00A25863"/>
    <w:rsid w:val="00A25916"/>
    <w:rsid w:val="00A25C6B"/>
    <w:rsid w:val="00A271B7"/>
    <w:rsid w:val="00A278F3"/>
    <w:rsid w:val="00A27D12"/>
    <w:rsid w:val="00A3029F"/>
    <w:rsid w:val="00A30405"/>
    <w:rsid w:val="00A304E8"/>
    <w:rsid w:val="00A307BF"/>
    <w:rsid w:val="00A30834"/>
    <w:rsid w:val="00A30860"/>
    <w:rsid w:val="00A30988"/>
    <w:rsid w:val="00A30A37"/>
    <w:rsid w:val="00A30AFE"/>
    <w:rsid w:val="00A31283"/>
    <w:rsid w:val="00A312B5"/>
    <w:rsid w:val="00A318BF"/>
    <w:rsid w:val="00A31DBF"/>
    <w:rsid w:val="00A31E77"/>
    <w:rsid w:val="00A31EB3"/>
    <w:rsid w:val="00A323FB"/>
    <w:rsid w:val="00A3274B"/>
    <w:rsid w:val="00A332CC"/>
    <w:rsid w:val="00A33BC6"/>
    <w:rsid w:val="00A34007"/>
    <w:rsid w:val="00A341BD"/>
    <w:rsid w:val="00A35308"/>
    <w:rsid w:val="00A35BBE"/>
    <w:rsid w:val="00A3632A"/>
    <w:rsid w:val="00A3666E"/>
    <w:rsid w:val="00A36A82"/>
    <w:rsid w:val="00A375F3"/>
    <w:rsid w:val="00A377FA"/>
    <w:rsid w:val="00A37AF7"/>
    <w:rsid w:val="00A37CF3"/>
    <w:rsid w:val="00A37DEF"/>
    <w:rsid w:val="00A37E6E"/>
    <w:rsid w:val="00A37F07"/>
    <w:rsid w:val="00A40588"/>
    <w:rsid w:val="00A40703"/>
    <w:rsid w:val="00A41446"/>
    <w:rsid w:val="00A41859"/>
    <w:rsid w:val="00A41AF8"/>
    <w:rsid w:val="00A42156"/>
    <w:rsid w:val="00A422A6"/>
    <w:rsid w:val="00A42406"/>
    <w:rsid w:val="00A42751"/>
    <w:rsid w:val="00A42762"/>
    <w:rsid w:val="00A42844"/>
    <w:rsid w:val="00A4345F"/>
    <w:rsid w:val="00A43F4E"/>
    <w:rsid w:val="00A4445B"/>
    <w:rsid w:val="00A44974"/>
    <w:rsid w:val="00A44E85"/>
    <w:rsid w:val="00A4558F"/>
    <w:rsid w:val="00A45894"/>
    <w:rsid w:val="00A45E5D"/>
    <w:rsid w:val="00A46170"/>
    <w:rsid w:val="00A46283"/>
    <w:rsid w:val="00A46646"/>
    <w:rsid w:val="00A46804"/>
    <w:rsid w:val="00A47033"/>
    <w:rsid w:val="00A470E2"/>
    <w:rsid w:val="00A471C9"/>
    <w:rsid w:val="00A47711"/>
    <w:rsid w:val="00A47D2E"/>
    <w:rsid w:val="00A47DE5"/>
    <w:rsid w:val="00A509FD"/>
    <w:rsid w:val="00A50A67"/>
    <w:rsid w:val="00A519B7"/>
    <w:rsid w:val="00A52135"/>
    <w:rsid w:val="00A5278F"/>
    <w:rsid w:val="00A5279C"/>
    <w:rsid w:val="00A52A27"/>
    <w:rsid w:val="00A52B24"/>
    <w:rsid w:val="00A53102"/>
    <w:rsid w:val="00A539FC"/>
    <w:rsid w:val="00A53C6C"/>
    <w:rsid w:val="00A53DCA"/>
    <w:rsid w:val="00A53EBB"/>
    <w:rsid w:val="00A54075"/>
    <w:rsid w:val="00A54756"/>
    <w:rsid w:val="00A54971"/>
    <w:rsid w:val="00A54ACA"/>
    <w:rsid w:val="00A5526B"/>
    <w:rsid w:val="00A552A6"/>
    <w:rsid w:val="00A5547A"/>
    <w:rsid w:val="00A55C24"/>
    <w:rsid w:val="00A56750"/>
    <w:rsid w:val="00A5679A"/>
    <w:rsid w:val="00A56B14"/>
    <w:rsid w:val="00A56BB2"/>
    <w:rsid w:val="00A570B8"/>
    <w:rsid w:val="00A573BE"/>
    <w:rsid w:val="00A57581"/>
    <w:rsid w:val="00A57592"/>
    <w:rsid w:val="00A57DDA"/>
    <w:rsid w:val="00A60956"/>
    <w:rsid w:val="00A60A48"/>
    <w:rsid w:val="00A60A82"/>
    <w:rsid w:val="00A60CEE"/>
    <w:rsid w:val="00A60F51"/>
    <w:rsid w:val="00A61053"/>
    <w:rsid w:val="00A61BF9"/>
    <w:rsid w:val="00A61D37"/>
    <w:rsid w:val="00A62A1D"/>
    <w:rsid w:val="00A62A92"/>
    <w:rsid w:val="00A632A9"/>
    <w:rsid w:val="00A636DC"/>
    <w:rsid w:val="00A637C9"/>
    <w:rsid w:val="00A64816"/>
    <w:rsid w:val="00A65591"/>
    <w:rsid w:val="00A65A94"/>
    <w:rsid w:val="00A65D17"/>
    <w:rsid w:val="00A65DBF"/>
    <w:rsid w:val="00A66075"/>
    <w:rsid w:val="00A66924"/>
    <w:rsid w:val="00A66B99"/>
    <w:rsid w:val="00A66CD0"/>
    <w:rsid w:val="00A67176"/>
    <w:rsid w:val="00A67D14"/>
    <w:rsid w:val="00A70248"/>
    <w:rsid w:val="00A70683"/>
    <w:rsid w:val="00A708A9"/>
    <w:rsid w:val="00A71DF9"/>
    <w:rsid w:val="00A729FE"/>
    <w:rsid w:val="00A72F1C"/>
    <w:rsid w:val="00A72FA2"/>
    <w:rsid w:val="00A737CC"/>
    <w:rsid w:val="00A73F4F"/>
    <w:rsid w:val="00A74031"/>
    <w:rsid w:val="00A74243"/>
    <w:rsid w:val="00A7470A"/>
    <w:rsid w:val="00A74A79"/>
    <w:rsid w:val="00A752C4"/>
    <w:rsid w:val="00A75875"/>
    <w:rsid w:val="00A7589F"/>
    <w:rsid w:val="00A75927"/>
    <w:rsid w:val="00A76175"/>
    <w:rsid w:val="00A7649D"/>
    <w:rsid w:val="00A76C6E"/>
    <w:rsid w:val="00A76E7B"/>
    <w:rsid w:val="00A7737D"/>
    <w:rsid w:val="00A7740B"/>
    <w:rsid w:val="00A77DDF"/>
    <w:rsid w:val="00A77E49"/>
    <w:rsid w:val="00A77F3C"/>
    <w:rsid w:val="00A8033F"/>
    <w:rsid w:val="00A804B2"/>
    <w:rsid w:val="00A80A64"/>
    <w:rsid w:val="00A80AFB"/>
    <w:rsid w:val="00A80D53"/>
    <w:rsid w:val="00A80DA8"/>
    <w:rsid w:val="00A80DD0"/>
    <w:rsid w:val="00A80E9E"/>
    <w:rsid w:val="00A811ED"/>
    <w:rsid w:val="00A81601"/>
    <w:rsid w:val="00A81E32"/>
    <w:rsid w:val="00A824AF"/>
    <w:rsid w:val="00A82935"/>
    <w:rsid w:val="00A83083"/>
    <w:rsid w:val="00A830C1"/>
    <w:rsid w:val="00A83151"/>
    <w:rsid w:val="00A833C6"/>
    <w:rsid w:val="00A83522"/>
    <w:rsid w:val="00A83AAE"/>
    <w:rsid w:val="00A83E1E"/>
    <w:rsid w:val="00A83F28"/>
    <w:rsid w:val="00A840D8"/>
    <w:rsid w:val="00A842DB"/>
    <w:rsid w:val="00A843AB"/>
    <w:rsid w:val="00A844EE"/>
    <w:rsid w:val="00A84E9D"/>
    <w:rsid w:val="00A85009"/>
    <w:rsid w:val="00A859E1"/>
    <w:rsid w:val="00A85FD0"/>
    <w:rsid w:val="00A86203"/>
    <w:rsid w:val="00A86393"/>
    <w:rsid w:val="00A86B3F"/>
    <w:rsid w:val="00A86E84"/>
    <w:rsid w:val="00A8711D"/>
    <w:rsid w:val="00A871B9"/>
    <w:rsid w:val="00A905AC"/>
    <w:rsid w:val="00A909DE"/>
    <w:rsid w:val="00A91004"/>
    <w:rsid w:val="00A91279"/>
    <w:rsid w:val="00A912B2"/>
    <w:rsid w:val="00A91776"/>
    <w:rsid w:val="00A91BEF"/>
    <w:rsid w:val="00A921B1"/>
    <w:rsid w:val="00A92596"/>
    <w:rsid w:val="00A928A6"/>
    <w:rsid w:val="00A92972"/>
    <w:rsid w:val="00A92A3F"/>
    <w:rsid w:val="00A92DEA"/>
    <w:rsid w:val="00A931BD"/>
    <w:rsid w:val="00A93405"/>
    <w:rsid w:val="00A93480"/>
    <w:rsid w:val="00A9395B"/>
    <w:rsid w:val="00A93C02"/>
    <w:rsid w:val="00A93F8E"/>
    <w:rsid w:val="00A93F9F"/>
    <w:rsid w:val="00A9422E"/>
    <w:rsid w:val="00A94456"/>
    <w:rsid w:val="00A952B8"/>
    <w:rsid w:val="00A95433"/>
    <w:rsid w:val="00A9543F"/>
    <w:rsid w:val="00A96079"/>
    <w:rsid w:val="00A964E1"/>
    <w:rsid w:val="00A966A7"/>
    <w:rsid w:val="00A966D8"/>
    <w:rsid w:val="00A96A0F"/>
    <w:rsid w:val="00A96B94"/>
    <w:rsid w:val="00A96E3F"/>
    <w:rsid w:val="00A973A4"/>
    <w:rsid w:val="00A97A82"/>
    <w:rsid w:val="00A97EF5"/>
    <w:rsid w:val="00AA010D"/>
    <w:rsid w:val="00AA061E"/>
    <w:rsid w:val="00AA0BE8"/>
    <w:rsid w:val="00AA1959"/>
    <w:rsid w:val="00AA1BB0"/>
    <w:rsid w:val="00AA1E90"/>
    <w:rsid w:val="00AA1F4F"/>
    <w:rsid w:val="00AA2006"/>
    <w:rsid w:val="00AA2268"/>
    <w:rsid w:val="00AA294D"/>
    <w:rsid w:val="00AA32EB"/>
    <w:rsid w:val="00AA3348"/>
    <w:rsid w:val="00AA3791"/>
    <w:rsid w:val="00AA42DD"/>
    <w:rsid w:val="00AA42ED"/>
    <w:rsid w:val="00AA436B"/>
    <w:rsid w:val="00AA44EF"/>
    <w:rsid w:val="00AA4BFB"/>
    <w:rsid w:val="00AA4E38"/>
    <w:rsid w:val="00AA4EE3"/>
    <w:rsid w:val="00AA4FB2"/>
    <w:rsid w:val="00AA5188"/>
    <w:rsid w:val="00AA55F4"/>
    <w:rsid w:val="00AA5890"/>
    <w:rsid w:val="00AA5BA5"/>
    <w:rsid w:val="00AA5CDD"/>
    <w:rsid w:val="00AA5FB0"/>
    <w:rsid w:val="00AA6C0D"/>
    <w:rsid w:val="00AA71CF"/>
    <w:rsid w:val="00AA7359"/>
    <w:rsid w:val="00AA79BB"/>
    <w:rsid w:val="00AB016C"/>
    <w:rsid w:val="00AB04F5"/>
    <w:rsid w:val="00AB062D"/>
    <w:rsid w:val="00AB0906"/>
    <w:rsid w:val="00AB0A13"/>
    <w:rsid w:val="00AB1166"/>
    <w:rsid w:val="00AB17F4"/>
    <w:rsid w:val="00AB19F5"/>
    <w:rsid w:val="00AB1B2D"/>
    <w:rsid w:val="00AB1C4C"/>
    <w:rsid w:val="00AB1F3C"/>
    <w:rsid w:val="00AB21E9"/>
    <w:rsid w:val="00AB2229"/>
    <w:rsid w:val="00AB22F1"/>
    <w:rsid w:val="00AB32DC"/>
    <w:rsid w:val="00AB33DE"/>
    <w:rsid w:val="00AB3789"/>
    <w:rsid w:val="00AB39D7"/>
    <w:rsid w:val="00AB3C71"/>
    <w:rsid w:val="00AB403F"/>
    <w:rsid w:val="00AB456B"/>
    <w:rsid w:val="00AB4F82"/>
    <w:rsid w:val="00AB5161"/>
    <w:rsid w:val="00AB526A"/>
    <w:rsid w:val="00AB669E"/>
    <w:rsid w:val="00AB729C"/>
    <w:rsid w:val="00AB77F5"/>
    <w:rsid w:val="00AB7D90"/>
    <w:rsid w:val="00AB7E15"/>
    <w:rsid w:val="00AC08E2"/>
    <w:rsid w:val="00AC0AF6"/>
    <w:rsid w:val="00AC0D66"/>
    <w:rsid w:val="00AC0F03"/>
    <w:rsid w:val="00AC10D3"/>
    <w:rsid w:val="00AC128F"/>
    <w:rsid w:val="00AC1AD2"/>
    <w:rsid w:val="00AC1B72"/>
    <w:rsid w:val="00AC2BDB"/>
    <w:rsid w:val="00AC2E90"/>
    <w:rsid w:val="00AC2F38"/>
    <w:rsid w:val="00AC35DD"/>
    <w:rsid w:val="00AC3993"/>
    <w:rsid w:val="00AC3B39"/>
    <w:rsid w:val="00AC45CF"/>
    <w:rsid w:val="00AC47E2"/>
    <w:rsid w:val="00AC4852"/>
    <w:rsid w:val="00AC4E95"/>
    <w:rsid w:val="00AC5049"/>
    <w:rsid w:val="00AC5593"/>
    <w:rsid w:val="00AC5C87"/>
    <w:rsid w:val="00AC641D"/>
    <w:rsid w:val="00AC6528"/>
    <w:rsid w:val="00AC659F"/>
    <w:rsid w:val="00AC6C89"/>
    <w:rsid w:val="00AC6DE2"/>
    <w:rsid w:val="00AC70F4"/>
    <w:rsid w:val="00AC751B"/>
    <w:rsid w:val="00AC76B1"/>
    <w:rsid w:val="00AC7812"/>
    <w:rsid w:val="00AC7AD4"/>
    <w:rsid w:val="00AC7F5F"/>
    <w:rsid w:val="00AD025B"/>
    <w:rsid w:val="00AD090B"/>
    <w:rsid w:val="00AD1CB3"/>
    <w:rsid w:val="00AD1EA8"/>
    <w:rsid w:val="00AD2490"/>
    <w:rsid w:val="00AD2738"/>
    <w:rsid w:val="00AD2A3A"/>
    <w:rsid w:val="00AD2B0D"/>
    <w:rsid w:val="00AD321F"/>
    <w:rsid w:val="00AD3222"/>
    <w:rsid w:val="00AD3553"/>
    <w:rsid w:val="00AD40ED"/>
    <w:rsid w:val="00AD4681"/>
    <w:rsid w:val="00AD5193"/>
    <w:rsid w:val="00AD5612"/>
    <w:rsid w:val="00AD5716"/>
    <w:rsid w:val="00AD5FE7"/>
    <w:rsid w:val="00AD6160"/>
    <w:rsid w:val="00AD665E"/>
    <w:rsid w:val="00AD6ADE"/>
    <w:rsid w:val="00AD70B4"/>
    <w:rsid w:val="00AD713F"/>
    <w:rsid w:val="00AD75F5"/>
    <w:rsid w:val="00AD7BF6"/>
    <w:rsid w:val="00AD7C44"/>
    <w:rsid w:val="00AD7F4B"/>
    <w:rsid w:val="00AE0104"/>
    <w:rsid w:val="00AE11BF"/>
    <w:rsid w:val="00AE11DF"/>
    <w:rsid w:val="00AE14DE"/>
    <w:rsid w:val="00AE1D00"/>
    <w:rsid w:val="00AE2052"/>
    <w:rsid w:val="00AE21EC"/>
    <w:rsid w:val="00AE29D6"/>
    <w:rsid w:val="00AE2AFF"/>
    <w:rsid w:val="00AE3491"/>
    <w:rsid w:val="00AE34AF"/>
    <w:rsid w:val="00AE34DA"/>
    <w:rsid w:val="00AE3B8C"/>
    <w:rsid w:val="00AE3BDE"/>
    <w:rsid w:val="00AE3E74"/>
    <w:rsid w:val="00AE3FEC"/>
    <w:rsid w:val="00AE4CBF"/>
    <w:rsid w:val="00AE5247"/>
    <w:rsid w:val="00AE5801"/>
    <w:rsid w:val="00AE5F4A"/>
    <w:rsid w:val="00AE672E"/>
    <w:rsid w:val="00AE68C6"/>
    <w:rsid w:val="00AE69D9"/>
    <w:rsid w:val="00AE6B5D"/>
    <w:rsid w:val="00AE7422"/>
    <w:rsid w:val="00AE7A01"/>
    <w:rsid w:val="00AF0771"/>
    <w:rsid w:val="00AF096B"/>
    <w:rsid w:val="00AF0B87"/>
    <w:rsid w:val="00AF0C78"/>
    <w:rsid w:val="00AF0FC7"/>
    <w:rsid w:val="00AF1555"/>
    <w:rsid w:val="00AF1EB4"/>
    <w:rsid w:val="00AF25EB"/>
    <w:rsid w:val="00AF2FDD"/>
    <w:rsid w:val="00AF39F6"/>
    <w:rsid w:val="00AF4446"/>
    <w:rsid w:val="00AF494D"/>
    <w:rsid w:val="00AF4D6E"/>
    <w:rsid w:val="00AF4EC1"/>
    <w:rsid w:val="00AF4F68"/>
    <w:rsid w:val="00AF569C"/>
    <w:rsid w:val="00AF5753"/>
    <w:rsid w:val="00AF5B7C"/>
    <w:rsid w:val="00AF5CA2"/>
    <w:rsid w:val="00AF5D04"/>
    <w:rsid w:val="00AF5F71"/>
    <w:rsid w:val="00AF6BCA"/>
    <w:rsid w:val="00AF6D0E"/>
    <w:rsid w:val="00AF71E8"/>
    <w:rsid w:val="00AF75B7"/>
    <w:rsid w:val="00AF785D"/>
    <w:rsid w:val="00AF7D4C"/>
    <w:rsid w:val="00AF7DF8"/>
    <w:rsid w:val="00AF7F55"/>
    <w:rsid w:val="00B000A6"/>
    <w:rsid w:val="00B001F0"/>
    <w:rsid w:val="00B00347"/>
    <w:rsid w:val="00B003B6"/>
    <w:rsid w:val="00B007E6"/>
    <w:rsid w:val="00B0160C"/>
    <w:rsid w:val="00B017DE"/>
    <w:rsid w:val="00B01E2C"/>
    <w:rsid w:val="00B01FDB"/>
    <w:rsid w:val="00B0234B"/>
    <w:rsid w:val="00B023A1"/>
    <w:rsid w:val="00B024AB"/>
    <w:rsid w:val="00B0253A"/>
    <w:rsid w:val="00B03553"/>
    <w:rsid w:val="00B03ACA"/>
    <w:rsid w:val="00B03AD7"/>
    <w:rsid w:val="00B0424F"/>
    <w:rsid w:val="00B042FB"/>
    <w:rsid w:val="00B04714"/>
    <w:rsid w:val="00B04D89"/>
    <w:rsid w:val="00B0533A"/>
    <w:rsid w:val="00B053F4"/>
    <w:rsid w:val="00B05FD5"/>
    <w:rsid w:val="00B05FF6"/>
    <w:rsid w:val="00B063DE"/>
    <w:rsid w:val="00B0664E"/>
    <w:rsid w:val="00B06D53"/>
    <w:rsid w:val="00B07240"/>
    <w:rsid w:val="00B073AF"/>
    <w:rsid w:val="00B07766"/>
    <w:rsid w:val="00B0790D"/>
    <w:rsid w:val="00B07BEA"/>
    <w:rsid w:val="00B10543"/>
    <w:rsid w:val="00B10C96"/>
    <w:rsid w:val="00B10D58"/>
    <w:rsid w:val="00B10E26"/>
    <w:rsid w:val="00B11080"/>
    <w:rsid w:val="00B112A4"/>
    <w:rsid w:val="00B11952"/>
    <w:rsid w:val="00B11AB5"/>
    <w:rsid w:val="00B12453"/>
    <w:rsid w:val="00B12721"/>
    <w:rsid w:val="00B12920"/>
    <w:rsid w:val="00B12F1A"/>
    <w:rsid w:val="00B12FFD"/>
    <w:rsid w:val="00B13026"/>
    <w:rsid w:val="00B130A9"/>
    <w:rsid w:val="00B1394A"/>
    <w:rsid w:val="00B1414B"/>
    <w:rsid w:val="00B141BD"/>
    <w:rsid w:val="00B149E9"/>
    <w:rsid w:val="00B15CB0"/>
    <w:rsid w:val="00B1721A"/>
    <w:rsid w:val="00B173C5"/>
    <w:rsid w:val="00B1774A"/>
    <w:rsid w:val="00B178B7"/>
    <w:rsid w:val="00B17D04"/>
    <w:rsid w:val="00B2032E"/>
    <w:rsid w:val="00B20478"/>
    <w:rsid w:val="00B205BA"/>
    <w:rsid w:val="00B2088E"/>
    <w:rsid w:val="00B20CF3"/>
    <w:rsid w:val="00B2111C"/>
    <w:rsid w:val="00B2122A"/>
    <w:rsid w:val="00B217BC"/>
    <w:rsid w:val="00B222B4"/>
    <w:rsid w:val="00B224D6"/>
    <w:rsid w:val="00B22687"/>
    <w:rsid w:val="00B229FE"/>
    <w:rsid w:val="00B22B4A"/>
    <w:rsid w:val="00B22D6B"/>
    <w:rsid w:val="00B23202"/>
    <w:rsid w:val="00B232AD"/>
    <w:rsid w:val="00B236D8"/>
    <w:rsid w:val="00B23729"/>
    <w:rsid w:val="00B2378F"/>
    <w:rsid w:val="00B23A5F"/>
    <w:rsid w:val="00B23DD0"/>
    <w:rsid w:val="00B240B7"/>
    <w:rsid w:val="00B2420E"/>
    <w:rsid w:val="00B247B6"/>
    <w:rsid w:val="00B254B0"/>
    <w:rsid w:val="00B256D1"/>
    <w:rsid w:val="00B267B8"/>
    <w:rsid w:val="00B269A7"/>
    <w:rsid w:val="00B271E8"/>
    <w:rsid w:val="00B27B67"/>
    <w:rsid w:val="00B27C59"/>
    <w:rsid w:val="00B27DD9"/>
    <w:rsid w:val="00B27E11"/>
    <w:rsid w:val="00B3002C"/>
    <w:rsid w:val="00B3004A"/>
    <w:rsid w:val="00B3013E"/>
    <w:rsid w:val="00B30437"/>
    <w:rsid w:val="00B30B1E"/>
    <w:rsid w:val="00B30E3A"/>
    <w:rsid w:val="00B32518"/>
    <w:rsid w:val="00B329EF"/>
    <w:rsid w:val="00B32E30"/>
    <w:rsid w:val="00B33059"/>
    <w:rsid w:val="00B33405"/>
    <w:rsid w:val="00B336D9"/>
    <w:rsid w:val="00B339D9"/>
    <w:rsid w:val="00B339F6"/>
    <w:rsid w:val="00B3410E"/>
    <w:rsid w:val="00B3418D"/>
    <w:rsid w:val="00B343AD"/>
    <w:rsid w:val="00B344C3"/>
    <w:rsid w:val="00B34B9A"/>
    <w:rsid w:val="00B34DAB"/>
    <w:rsid w:val="00B34E81"/>
    <w:rsid w:val="00B365B6"/>
    <w:rsid w:val="00B3682E"/>
    <w:rsid w:val="00B36BEC"/>
    <w:rsid w:val="00B371A5"/>
    <w:rsid w:val="00B37E05"/>
    <w:rsid w:val="00B404A9"/>
    <w:rsid w:val="00B40753"/>
    <w:rsid w:val="00B40B24"/>
    <w:rsid w:val="00B40CBC"/>
    <w:rsid w:val="00B4103F"/>
    <w:rsid w:val="00B417A5"/>
    <w:rsid w:val="00B41E2E"/>
    <w:rsid w:val="00B42177"/>
    <w:rsid w:val="00B42313"/>
    <w:rsid w:val="00B424E9"/>
    <w:rsid w:val="00B424F9"/>
    <w:rsid w:val="00B428E1"/>
    <w:rsid w:val="00B42E93"/>
    <w:rsid w:val="00B4341E"/>
    <w:rsid w:val="00B436CB"/>
    <w:rsid w:val="00B43B27"/>
    <w:rsid w:val="00B444D5"/>
    <w:rsid w:val="00B4460A"/>
    <w:rsid w:val="00B449FA"/>
    <w:rsid w:val="00B44B62"/>
    <w:rsid w:val="00B44D4A"/>
    <w:rsid w:val="00B44D91"/>
    <w:rsid w:val="00B45023"/>
    <w:rsid w:val="00B450DD"/>
    <w:rsid w:val="00B453FC"/>
    <w:rsid w:val="00B45987"/>
    <w:rsid w:val="00B45D68"/>
    <w:rsid w:val="00B461DF"/>
    <w:rsid w:val="00B46360"/>
    <w:rsid w:val="00B46A66"/>
    <w:rsid w:val="00B472A9"/>
    <w:rsid w:val="00B50203"/>
    <w:rsid w:val="00B5048E"/>
    <w:rsid w:val="00B50E73"/>
    <w:rsid w:val="00B50F88"/>
    <w:rsid w:val="00B50FCB"/>
    <w:rsid w:val="00B511F7"/>
    <w:rsid w:val="00B51824"/>
    <w:rsid w:val="00B519EB"/>
    <w:rsid w:val="00B51B4F"/>
    <w:rsid w:val="00B51D93"/>
    <w:rsid w:val="00B51E10"/>
    <w:rsid w:val="00B52833"/>
    <w:rsid w:val="00B53163"/>
    <w:rsid w:val="00B53860"/>
    <w:rsid w:val="00B53A67"/>
    <w:rsid w:val="00B53AA8"/>
    <w:rsid w:val="00B53ABB"/>
    <w:rsid w:val="00B54366"/>
    <w:rsid w:val="00B5439B"/>
    <w:rsid w:val="00B54477"/>
    <w:rsid w:val="00B54586"/>
    <w:rsid w:val="00B54A4C"/>
    <w:rsid w:val="00B5545B"/>
    <w:rsid w:val="00B55502"/>
    <w:rsid w:val="00B55A29"/>
    <w:rsid w:val="00B55AB7"/>
    <w:rsid w:val="00B55AC9"/>
    <w:rsid w:val="00B56375"/>
    <w:rsid w:val="00B56397"/>
    <w:rsid w:val="00B565A2"/>
    <w:rsid w:val="00B568BA"/>
    <w:rsid w:val="00B56AD4"/>
    <w:rsid w:val="00B56CBA"/>
    <w:rsid w:val="00B56F4A"/>
    <w:rsid w:val="00B57052"/>
    <w:rsid w:val="00B57242"/>
    <w:rsid w:val="00B57A9C"/>
    <w:rsid w:val="00B57F6A"/>
    <w:rsid w:val="00B60260"/>
    <w:rsid w:val="00B60C5B"/>
    <w:rsid w:val="00B6113C"/>
    <w:rsid w:val="00B6128F"/>
    <w:rsid w:val="00B6145E"/>
    <w:rsid w:val="00B61ABF"/>
    <w:rsid w:val="00B61D02"/>
    <w:rsid w:val="00B6201A"/>
    <w:rsid w:val="00B629BE"/>
    <w:rsid w:val="00B629E2"/>
    <w:rsid w:val="00B62EE8"/>
    <w:rsid w:val="00B63001"/>
    <w:rsid w:val="00B63143"/>
    <w:rsid w:val="00B6363B"/>
    <w:rsid w:val="00B63A7A"/>
    <w:rsid w:val="00B63C20"/>
    <w:rsid w:val="00B6428C"/>
    <w:rsid w:val="00B646A2"/>
    <w:rsid w:val="00B647D1"/>
    <w:rsid w:val="00B6501A"/>
    <w:rsid w:val="00B6507A"/>
    <w:rsid w:val="00B650EE"/>
    <w:rsid w:val="00B6550F"/>
    <w:rsid w:val="00B65BD4"/>
    <w:rsid w:val="00B65CD1"/>
    <w:rsid w:val="00B6608C"/>
    <w:rsid w:val="00B66D30"/>
    <w:rsid w:val="00B67388"/>
    <w:rsid w:val="00B67DE9"/>
    <w:rsid w:val="00B67FEC"/>
    <w:rsid w:val="00B7029E"/>
    <w:rsid w:val="00B7030A"/>
    <w:rsid w:val="00B703E7"/>
    <w:rsid w:val="00B70EF5"/>
    <w:rsid w:val="00B7147A"/>
    <w:rsid w:val="00B716F5"/>
    <w:rsid w:val="00B71C9D"/>
    <w:rsid w:val="00B721CD"/>
    <w:rsid w:val="00B72BBF"/>
    <w:rsid w:val="00B72DE9"/>
    <w:rsid w:val="00B72EC0"/>
    <w:rsid w:val="00B72F86"/>
    <w:rsid w:val="00B74982"/>
    <w:rsid w:val="00B75324"/>
    <w:rsid w:val="00B7549A"/>
    <w:rsid w:val="00B75B70"/>
    <w:rsid w:val="00B75C15"/>
    <w:rsid w:val="00B75CF1"/>
    <w:rsid w:val="00B76326"/>
    <w:rsid w:val="00B76763"/>
    <w:rsid w:val="00B77001"/>
    <w:rsid w:val="00B77094"/>
    <w:rsid w:val="00B77524"/>
    <w:rsid w:val="00B80A1F"/>
    <w:rsid w:val="00B80E47"/>
    <w:rsid w:val="00B80E68"/>
    <w:rsid w:val="00B8148E"/>
    <w:rsid w:val="00B814A7"/>
    <w:rsid w:val="00B81C31"/>
    <w:rsid w:val="00B82010"/>
    <w:rsid w:val="00B82449"/>
    <w:rsid w:val="00B82792"/>
    <w:rsid w:val="00B82E48"/>
    <w:rsid w:val="00B833F4"/>
    <w:rsid w:val="00B837A1"/>
    <w:rsid w:val="00B83EC0"/>
    <w:rsid w:val="00B83FB6"/>
    <w:rsid w:val="00B84030"/>
    <w:rsid w:val="00B84256"/>
    <w:rsid w:val="00B8428F"/>
    <w:rsid w:val="00B846F9"/>
    <w:rsid w:val="00B847AA"/>
    <w:rsid w:val="00B85131"/>
    <w:rsid w:val="00B854BD"/>
    <w:rsid w:val="00B85762"/>
    <w:rsid w:val="00B85A7F"/>
    <w:rsid w:val="00B86211"/>
    <w:rsid w:val="00B8640E"/>
    <w:rsid w:val="00B866A7"/>
    <w:rsid w:val="00B86B1B"/>
    <w:rsid w:val="00B86D6D"/>
    <w:rsid w:val="00B86E69"/>
    <w:rsid w:val="00B87132"/>
    <w:rsid w:val="00B876A7"/>
    <w:rsid w:val="00B9041C"/>
    <w:rsid w:val="00B905DE"/>
    <w:rsid w:val="00B907BC"/>
    <w:rsid w:val="00B9106B"/>
    <w:rsid w:val="00B91112"/>
    <w:rsid w:val="00B911B3"/>
    <w:rsid w:val="00B917F4"/>
    <w:rsid w:val="00B920CE"/>
    <w:rsid w:val="00B9222C"/>
    <w:rsid w:val="00B928C8"/>
    <w:rsid w:val="00B92FB2"/>
    <w:rsid w:val="00B94BA5"/>
    <w:rsid w:val="00B94E2F"/>
    <w:rsid w:val="00B94F12"/>
    <w:rsid w:val="00B95949"/>
    <w:rsid w:val="00B979AB"/>
    <w:rsid w:val="00B97C08"/>
    <w:rsid w:val="00BA0073"/>
    <w:rsid w:val="00BA07FA"/>
    <w:rsid w:val="00BA08B8"/>
    <w:rsid w:val="00BA0D21"/>
    <w:rsid w:val="00BA141B"/>
    <w:rsid w:val="00BA17B2"/>
    <w:rsid w:val="00BA17F1"/>
    <w:rsid w:val="00BA1A27"/>
    <w:rsid w:val="00BA270E"/>
    <w:rsid w:val="00BA2990"/>
    <w:rsid w:val="00BA2B35"/>
    <w:rsid w:val="00BA3300"/>
    <w:rsid w:val="00BA3C69"/>
    <w:rsid w:val="00BA43CF"/>
    <w:rsid w:val="00BA454B"/>
    <w:rsid w:val="00BA4CEC"/>
    <w:rsid w:val="00BA4F9A"/>
    <w:rsid w:val="00BA524D"/>
    <w:rsid w:val="00BA584A"/>
    <w:rsid w:val="00BA5920"/>
    <w:rsid w:val="00BA597D"/>
    <w:rsid w:val="00BA5AFE"/>
    <w:rsid w:val="00BA676D"/>
    <w:rsid w:val="00BA69BC"/>
    <w:rsid w:val="00BA6C58"/>
    <w:rsid w:val="00BA6F59"/>
    <w:rsid w:val="00BA7388"/>
    <w:rsid w:val="00BA7438"/>
    <w:rsid w:val="00BA7692"/>
    <w:rsid w:val="00BA7FFB"/>
    <w:rsid w:val="00BB0173"/>
    <w:rsid w:val="00BB04B0"/>
    <w:rsid w:val="00BB061B"/>
    <w:rsid w:val="00BB0A8E"/>
    <w:rsid w:val="00BB0B2E"/>
    <w:rsid w:val="00BB1763"/>
    <w:rsid w:val="00BB1FC4"/>
    <w:rsid w:val="00BB25ED"/>
    <w:rsid w:val="00BB2B54"/>
    <w:rsid w:val="00BB2C51"/>
    <w:rsid w:val="00BB2DEC"/>
    <w:rsid w:val="00BB3170"/>
    <w:rsid w:val="00BB3514"/>
    <w:rsid w:val="00BB3796"/>
    <w:rsid w:val="00BB395A"/>
    <w:rsid w:val="00BB3C35"/>
    <w:rsid w:val="00BB3DA4"/>
    <w:rsid w:val="00BB40C6"/>
    <w:rsid w:val="00BB4250"/>
    <w:rsid w:val="00BB453F"/>
    <w:rsid w:val="00BB4679"/>
    <w:rsid w:val="00BB46CE"/>
    <w:rsid w:val="00BB4978"/>
    <w:rsid w:val="00BB49A7"/>
    <w:rsid w:val="00BB5063"/>
    <w:rsid w:val="00BB5B94"/>
    <w:rsid w:val="00BB5C97"/>
    <w:rsid w:val="00BB5C9C"/>
    <w:rsid w:val="00BB6044"/>
    <w:rsid w:val="00BB627F"/>
    <w:rsid w:val="00BB693C"/>
    <w:rsid w:val="00BB7585"/>
    <w:rsid w:val="00BB785B"/>
    <w:rsid w:val="00BB791C"/>
    <w:rsid w:val="00BB7C7A"/>
    <w:rsid w:val="00BB7D41"/>
    <w:rsid w:val="00BC03C2"/>
    <w:rsid w:val="00BC09C8"/>
    <w:rsid w:val="00BC25E2"/>
    <w:rsid w:val="00BC28C0"/>
    <w:rsid w:val="00BC2B31"/>
    <w:rsid w:val="00BC3CC1"/>
    <w:rsid w:val="00BC3F9C"/>
    <w:rsid w:val="00BC444F"/>
    <w:rsid w:val="00BC46F5"/>
    <w:rsid w:val="00BC4C40"/>
    <w:rsid w:val="00BC4FA3"/>
    <w:rsid w:val="00BC4FE8"/>
    <w:rsid w:val="00BC51F7"/>
    <w:rsid w:val="00BC567B"/>
    <w:rsid w:val="00BC579E"/>
    <w:rsid w:val="00BC57B0"/>
    <w:rsid w:val="00BC5BE8"/>
    <w:rsid w:val="00BC5DF0"/>
    <w:rsid w:val="00BC6099"/>
    <w:rsid w:val="00BC6127"/>
    <w:rsid w:val="00BC6212"/>
    <w:rsid w:val="00BC6672"/>
    <w:rsid w:val="00BC67E9"/>
    <w:rsid w:val="00BC6E7C"/>
    <w:rsid w:val="00BC6EB4"/>
    <w:rsid w:val="00BC792F"/>
    <w:rsid w:val="00BD0B17"/>
    <w:rsid w:val="00BD0EFA"/>
    <w:rsid w:val="00BD17AB"/>
    <w:rsid w:val="00BD1AB1"/>
    <w:rsid w:val="00BD1B63"/>
    <w:rsid w:val="00BD1DB9"/>
    <w:rsid w:val="00BD1E89"/>
    <w:rsid w:val="00BD2054"/>
    <w:rsid w:val="00BD2622"/>
    <w:rsid w:val="00BD269C"/>
    <w:rsid w:val="00BD280E"/>
    <w:rsid w:val="00BD2C43"/>
    <w:rsid w:val="00BD33EF"/>
    <w:rsid w:val="00BD358A"/>
    <w:rsid w:val="00BD35FF"/>
    <w:rsid w:val="00BD367D"/>
    <w:rsid w:val="00BD3EA2"/>
    <w:rsid w:val="00BD3F54"/>
    <w:rsid w:val="00BD4151"/>
    <w:rsid w:val="00BD4600"/>
    <w:rsid w:val="00BD4923"/>
    <w:rsid w:val="00BD4B60"/>
    <w:rsid w:val="00BD4DF4"/>
    <w:rsid w:val="00BD4E42"/>
    <w:rsid w:val="00BD54FF"/>
    <w:rsid w:val="00BD58A1"/>
    <w:rsid w:val="00BD59BE"/>
    <w:rsid w:val="00BD5BF0"/>
    <w:rsid w:val="00BD6529"/>
    <w:rsid w:val="00BD6715"/>
    <w:rsid w:val="00BD6913"/>
    <w:rsid w:val="00BD6B6D"/>
    <w:rsid w:val="00BD6B8D"/>
    <w:rsid w:val="00BD75F1"/>
    <w:rsid w:val="00BD7648"/>
    <w:rsid w:val="00BD786B"/>
    <w:rsid w:val="00BD7E9B"/>
    <w:rsid w:val="00BE0342"/>
    <w:rsid w:val="00BE0DB0"/>
    <w:rsid w:val="00BE16C6"/>
    <w:rsid w:val="00BE1E00"/>
    <w:rsid w:val="00BE2132"/>
    <w:rsid w:val="00BE25FB"/>
    <w:rsid w:val="00BE28EF"/>
    <w:rsid w:val="00BE2B0B"/>
    <w:rsid w:val="00BE2C0A"/>
    <w:rsid w:val="00BE3479"/>
    <w:rsid w:val="00BE3596"/>
    <w:rsid w:val="00BE3769"/>
    <w:rsid w:val="00BE3C47"/>
    <w:rsid w:val="00BE3F48"/>
    <w:rsid w:val="00BE4164"/>
    <w:rsid w:val="00BE4CBD"/>
    <w:rsid w:val="00BE5108"/>
    <w:rsid w:val="00BE5481"/>
    <w:rsid w:val="00BE54BC"/>
    <w:rsid w:val="00BE5DF2"/>
    <w:rsid w:val="00BE5FCE"/>
    <w:rsid w:val="00BE61C4"/>
    <w:rsid w:val="00BE6433"/>
    <w:rsid w:val="00BE6685"/>
    <w:rsid w:val="00BE671D"/>
    <w:rsid w:val="00BE67B9"/>
    <w:rsid w:val="00BE6ACD"/>
    <w:rsid w:val="00BE6FDE"/>
    <w:rsid w:val="00BE72B1"/>
    <w:rsid w:val="00BE792C"/>
    <w:rsid w:val="00BE7AF5"/>
    <w:rsid w:val="00BF004E"/>
    <w:rsid w:val="00BF07C1"/>
    <w:rsid w:val="00BF092F"/>
    <w:rsid w:val="00BF0A26"/>
    <w:rsid w:val="00BF0EEE"/>
    <w:rsid w:val="00BF0F7F"/>
    <w:rsid w:val="00BF140B"/>
    <w:rsid w:val="00BF1A5C"/>
    <w:rsid w:val="00BF1BC7"/>
    <w:rsid w:val="00BF1CED"/>
    <w:rsid w:val="00BF1DA1"/>
    <w:rsid w:val="00BF1F91"/>
    <w:rsid w:val="00BF213B"/>
    <w:rsid w:val="00BF243B"/>
    <w:rsid w:val="00BF2884"/>
    <w:rsid w:val="00BF288E"/>
    <w:rsid w:val="00BF29F0"/>
    <w:rsid w:val="00BF2B9D"/>
    <w:rsid w:val="00BF2C2F"/>
    <w:rsid w:val="00BF2EB6"/>
    <w:rsid w:val="00BF2EFC"/>
    <w:rsid w:val="00BF3795"/>
    <w:rsid w:val="00BF3CCA"/>
    <w:rsid w:val="00BF44C8"/>
    <w:rsid w:val="00BF44FF"/>
    <w:rsid w:val="00BF4708"/>
    <w:rsid w:val="00BF4EC2"/>
    <w:rsid w:val="00BF507F"/>
    <w:rsid w:val="00BF57F3"/>
    <w:rsid w:val="00BF5B99"/>
    <w:rsid w:val="00BF5BBF"/>
    <w:rsid w:val="00BF5C0B"/>
    <w:rsid w:val="00BF6475"/>
    <w:rsid w:val="00BF6EF7"/>
    <w:rsid w:val="00BF6F10"/>
    <w:rsid w:val="00BF71E1"/>
    <w:rsid w:val="00BF7488"/>
    <w:rsid w:val="00BF7C0F"/>
    <w:rsid w:val="00BF7F63"/>
    <w:rsid w:val="00C00494"/>
    <w:rsid w:val="00C00B7C"/>
    <w:rsid w:val="00C0113C"/>
    <w:rsid w:val="00C015B6"/>
    <w:rsid w:val="00C018D3"/>
    <w:rsid w:val="00C01E7F"/>
    <w:rsid w:val="00C020C1"/>
    <w:rsid w:val="00C02F60"/>
    <w:rsid w:val="00C0324D"/>
    <w:rsid w:val="00C0378C"/>
    <w:rsid w:val="00C0383B"/>
    <w:rsid w:val="00C04057"/>
    <w:rsid w:val="00C045A8"/>
    <w:rsid w:val="00C052B0"/>
    <w:rsid w:val="00C055C1"/>
    <w:rsid w:val="00C05719"/>
    <w:rsid w:val="00C0653B"/>
    <w:rsid w:val="00C06774"/>
    <w:rsid w:val="00C0690E"/>
    <w:rsid w:val="00C06E35"/>
    <w:rsid w:val="00C06E75"/>
    <w:rsid w:val="00C0715B"/>
    <w:rsid w:val="00C07218"/>
    <w:rsid w:val="00C0723A"/>
    <w:rsid w:val="00C0746E"/>
    <w:rsid w:val="00C07ABE"/>
    <w:rsid w:val="00C07B25"/>
    <w:rsid w:val="00C07BB1"/>
    <w:rsid w:val="00C10627"/>
    <w:rsid w:val="00C10829"/>
    <w:rsid w:val="00C10CCA"/>
    <w:rsid w:val="00C11183"/>
    <w:rsid w:val="00C115A2"/>
    <w:rsid w:val="00C12128"/>
    <w:rsid w:val="00C125D2"/>
    <w:rsid w:val="00C126F0"/>
    <w:rsid w:val="00C12E1B"/>
    <w:rsid w:val="00C133B5"/>
    <w:rsid w:val="00C1369A"/>
    <w:rsid w:val="00C143D5"/>
    <w:rsid w:val="00C147AE"/>
    <w:rsid w:val="00C14A2C"/>
    <w:rsid w:val="00C152E6"/>
    <w:rsid w:val="00C16282"/>
    <w:rsid w:val="00C16A97"/>
    <w:rsid w:val="00C17721"/>
    <w:rsid w:val="00C1774C"/>
    <w:rsid w:val="00C1796E"/>
    <w:rsid w:val="00C17B5E"/>
    <w:rsid w:val="00C17D83"/>
    <w:rsid w:val="00C202E6"/>
    <w:rsid w:val="00C20395"/>
    <w:rsid w:val="00C2043B"/>
    <w:rsid w:val="00C204C5"/>
    <w:rsid w:val="00C2050E"/>
    <w:rsid w:val="00C205D0"/>
    <w:rsid w:val="00C209C1"/>
    <w:rsid w:val="00C210D6"/>
    <w:rsid w:val="00C2177E"/>
    <w:rsid w:val="00C21D52"/>
    <w:rsid w:val="00C22422"/>
    <w:rsid w:val="00C229E6"/>
    <w:rsid w:val="00C22A2D"/>
    <w:rsid w:val="00C22C6D"/>
    <w:rsid w:val="00C23A1E"/>
    <w:rsid w:val="00C24480"/>
    <w:rsid w:val="00C24A04"/>
    <w:rsid w:val="00C254CC"/>
    <w:rsid w:val="00C26660"/>
    <w:rsid w:val="00C26751"/>
    <w:rsid w:val="00C26C5A"/>
    <w:rsid w:val="00C30039"/>
    <w:rsid w:val="00C30199"/>
    <w:rsid w:val="00C30E3D"/>
    <w:rsid w:val="00C311C6"/>
    <w:rsid w:val="00C314FF"/>
    <w:rsid w:val="00C322D6"/>
    <w:rsid w:val="00C322EA"/>
    <w:rsid w:val="00C325A6"/>
    <w:rsid w:val="00C3284A"/>
    <w:rsid w:val="00C336E6"/>
    <w:rsid w:val="00C33BB6"/>
    <w:rsid w:val="00C3404B"/>
    <w:rsid w:val="00C34073"/>
    <w:rsid w:val="00C340B9"/>
    <w:rsid w:val="00C347F2"/>
    <w:rsid w:val="00C34897"/>
    <w:rsid w:val="00C34AB5"/>
    <w:rsid w:val="00C354D4"/>
    <w:rsid w:val="00C3620D"/>
    <w:rsid w:val="00C3654A"/>
    <w:rsid w:val="00C3676C"/>
    <w:rsid w:val="00C37201"/>
    <w:rsid w:val="00C375AB"/>
    <w:rsid w:val="00C37888"/>
    <w:rsid w:val="00C37E95"/>
    <w:rsid w:val="00C401FE"/>
    <w:rsid w:val="00C40313"/>
    <w:rsid w:val="00C4063A"/>
    <w:rsid w:val="00C41016"/>
    <w:rsid w:val="00C4119E"/>
    <w:rsid w:val="00C41329"/>
    <w:rsid w:val="00C41F23"/>
    <w:rsid w:val="00C42153"/>
    <w:rsid w:val="00C4230A"/>
    <w:rsid w:val="00C4235B"/>
    <w:rsid w:val="00C425DC"/>
    <w:rsid w:val="00C4291A"/>
    <w:rsid w:val="00C42E81"/>
    <w:rsid w:val="00C42F28"/>
    <w:rsid w:val="00C43B88"/>
    <w:rsid w:val="00C43C5C"/>
    <w:rsid w:val="00C43F09"/>
    <w:rsid w:val="00C44022"/>
    <w:rsid w:val="00C44367"/>
    <w:rsid w:val="00C450F9"/>
    <w:rsid w:val="00C4533D"/>
    <w:rsid w:val="00C45694"/>
    <w:rsid w:val="00C459F2"/>
    <w:rsid w:val="00C46282"/>
    <w:rsid w:val="00C46B78"/>
    <w:rsid w:val="00C46C42"/>
    <w:rsid w:val="00C47F92"/>
    <w:rsid w:val="00C47FDC"/>
    <w:rsid w:val="00C50239"/>
    <w:rsid w:val="00C508E9"/>
    <w:rsid w:val="00C50B0E"/>
    <w:rsid w:val="00C50C9F"/>
    <w:rsid w:val="00C5126D"/>
    <w:rsid w:val="00C5140C"/>
    <w:rsid w:val="00C51DF5"/>
    <w:rsid w:val="00C51FF1"/>
    <w:rsid w:val="00C526E9"/>
    <w:rsid w:val="00C5282E"/>
    <w:rsid w:val="00C52C05"/>
    <w:rsid w:val="00C52C64"/>
    <w:rsid w:val="00C52DD3"/>
    <w:rsid w:val="00C53542"/>
    <w:rsid w:val="00C53610"/>
    <w:rsid w:val="00C54D2A"/>
    <w:rsid w:val="00C555BE"/>
    <w:rsid w:val="00C55B67"/>
    <w:rsid w:val="00C56944"/>
    <w:rsid w:val="00C56D75"/>
    <w:rsid w:val="00C57938"/>
    <w:rsid w:val="00C579C1"/>
    <w:rsid w:val="00C6019D"/>
    <w:rsid w:val="00C60961"/>
    <w:rsid w:val="00C609BC"/>
    <w:rsid w:val="00C6179A"/>
    <w:rsid w:val="00C62132"/>
    <w:rsid w:val="00C6230F"/>
    <w:rsid w:val="00C62C7C"/>
    <w:rsid w:val="00C63255"/>
    <w:rsid w:val="00C6385B"/>
    <w:rsid w:val="00C638AD"/>
    <w:rsid w:val="00C63AD0"/>
    <w:rsid w:val="00C641D8"/>
    <w:rsid w:val="00C645A9"/>
    <w:rsid w:val="00C6465D"/>
    <w:rsid w:val="00C64C3B"/>
    <w:rsid w:val="00C64DBF"/>
    <w:rsid w:val="00C651FE"/>
    <w:rsid w:val="00C65E54"/>
    <w:rsid w:val="00C66390"/>
    <w:rsid w:val="00C6653E"/>
    <w:rsid w:val="00C66705"/>
    <w:rsid w:val="00C66760"/>
    <w:rsid w:val="00C6676E"/>
    <w:rsid w:val="00C667C2"/>
    <w:rsid w:val="00C66A14"/>
    <w:rsid w:val="00C66BD2"/>
    <w:rsid w:val="00C66F11"/>
    <w:rsid w:val="00C67141"/>
    <w:rsid w:val="00C708FB"/>
    <w:rsid w:val="00C70A53"/>
    <w:rsid w:val="00C70C30"/>
    <w:rsid w:val="00C712FE"/>
    <w:rsid w:val="00C71A5C"/>
    <w:rsid w:val="00C71E8B"/>
    <w:rsid w:val="00C723B4"/>
    <w:rsid w:val="00C72C55"/>
    <w:rsid w:val="00C7377A"/>
    <w:rsid w:val="00C73B2F"/>
    <w:rsid w:val="00C73B53"/>
    <w:rsid w:val="00C73BF7"/>
    <w:rsid w:val="00C74874"/>
    <w:rsid w:val="00C755B6"/>
    <w:rsid w:val="00C75BF9"/>
    <w:rsid w:val="00C768C2"/>
    <w:rsid w:val="00C76CF2"/>
    <w:rsid w:val="00C76D6A"/>
    <w:rsid w:val="00C77EC2"/>
    <w:rsid w:val="00C8017C"/>
    <w:rsid w:val="00C802C9"/>
    <w:rsid w:val="00C80BA1"/>
    <w:rsid w:val="00C8273C"/>
    <w:rsid w:val="00C83466"/>
    <w:rsid w:val="00C83536"/>
    <w:rsid w:val="00C8374E"/>
    <w:rsid w:val="00C83846"/>
    <w:rsid w:val="00C840AC"/>
    <w:rsid w:val="00C845F5"/>
    <w:rsid w:val="00C84BAF"/>
    <w:rsid w:val="00C84D17"/>
    <w:rsid w:val="00C84DAA"/>
    <w:rsid w:val="00C858A4"/>
    <w:rsid w:val="00C85ACC"/>
    <w:rsid w:val="00C86037"/>
    <w:rsid w:val="00C861A2"/>
    <w:rsid w:val="00C86558"/>
    <w:rsid w:val="00C86CDA"/>
    <w:rsid w:val="00C87004"/>
    <w:rsid w:val="00C87B49"/>
    <w:rsid w:val="00C900FC"/>
    <w:rsid w:val="00C90B3C"/>
    <w:rsid w:val="00C91351"/>
    <w:rsid w:val="00C91DAC"/>
    <w:rsid w:val="00C91FE2"/>
    <w:rsid w:val="00C9206F"/>
    <w:rsid w:val="00C926C5"/>
    <w:rsid w:val="00C927B6"/>
    <w:rsid w:val="00C9314E"/>
    <w:rsid w:val="00C93AED"/>
    <w:rsid w:val="00C93D6E"/>
    <w:rsid w:val="00C93E9E"/>
    <w:rsid w:val="00C94463"/>
    <w:rsid w:val="00C94542"/>
    <w:rsid w:val="00C9475E"/>
    <w:rsid w:val="00C947DA"/>
    <w:rsid w:val="00C94A0E"/>
    <w:rsid w:val="00C94A3E"/>
    <w:rsid w:val="00C94A6E"/>
    <w:rsid w:val="00C94A6F"/>
    <w:rsid w:val="00C957B4"/>
    <w:rsid w:val="00C9581D"/>
    <w:rsid w:val="00C95C0F"/>
    <w:rsid w:val="00C95EF2"/>
    <w:rsid w:val="00C963EB"/>
    <w:rsid w:val="00C97627"/>
    <w:rsid w:val="00C97A41"/>
    <w:rsid w:val="00CA0747"/>
    <w:rsid w:val="00CA0936"/>
    <w:rsid w:val="00CA0955"/>
    <w:rsid w:val="00CA0D87"/>
    <w:rsid w:val="00CA0D8C"/>
    <w:rsid w:val="00CA1162"/>
    <w:rsid w:val="00CA1516"/>
    <w:rsid w:val="00CA1BC9"/>
    <w:rsid w:val="00CA2439"/>
    <w:rsid w:val="00CA264C"/>
    <w:rsid w:val="00CA2A4B"/>
    <w:rsid w:val="00CA2DBA"/>
    <w:rsid w:val="00CA39D2"/>
    <w:rsid w:val="00CA3C64"/>
    <w:rsid w:val="00CA3CC1"/>
    <w:rsid w:val="00CA41BB"/>
    <w:rsid w:val="00CA44D5"/>
    <w:rsid w:val="00CA494C"/>
    <w:rsid w:val="00CA5058"/>
    <w:rsid w:val="00CA528E"/>
    <w:rsid w:val="00CA6299"/>
    <w:rsid w:val="00CA64EC"/>
    <w:rsid w:val="00CA650B"/>
    <w:rsid w:val="00CA669B"/>
    <w:rsid w:val="00CA77B0"/>
    <w:rsid w:val="00CA7848"/>
    <w:rsid w:val="00CA7B06"/>
    <w:rsid w:val="00CB00BC"/>
    <w:rsid w:val="00CB032E"/>
    <w:rsid w:val="00CB07F0"/>
    <w:rsid w:val="00CB0D84"/>
    <w:rsid w:val="00CB10A2"/>
    <w:rsid w:val="00CB13F7"/>
    <w:rsid w:val="00CB165D"/>
    <w:rsid w:val="00CB193F"/>
    <w:rsid w:val="00CB19A3"/>
    <w:rsid w:val="00CB1CBC"/>
    <w:rsid w:val="00CB1E32"/>
    <w:rsid w:val="00CB2203"/>
    <w:rsid w:val="00CB241F"/>
    <w:rsid w:val="00CB26D5"/>
    <w:rsid w:val="00CB2A09"/>
    <w:rsid w:val="00CB2BA7"/>
    <w:rsid w:val="00CB3445"/>
    <w:rsid w:val="00CB34CC"/>
    <w:rsid w:val="00CB35B8"/>
    <w:rsid w:val="00CB3DF4"/>
    <w:rsid w:val="00CB412B"/>
    <w:rsid w:val="00CB4FBE"/>
    <w:rsid w:val="00CB5160"/>
    <w:rsid w:val="00CB5ABA"/>
    <w:rsid w:val="00CB5EEC"/>
    <w:rsid w:val="00CB68A3"/>
    <w:rsid w:val="00CB68C7"/>
    <w:rsid w:val="00CB6E1A"/>
    <w:rsid w:val="00CB6EDC"/>
    <w:rsid w:val="00CB7028"/>
    <w:rsid w:val="00CB77A4"/>
    <w:rsid w:val="00CB788D"/>
    <w:rsid w:val="00CB7A18"/>
    <w:rsid w:val="00CB7B98"/>
    <w:rsid w:val="00CB7F19"/>
    <w:rsid w:val="00CB7F49"/>
    <w:rsid w:val="00CC006E"/>
    <w:rsid w:val="00CC0224"/>
    <w:rsid w:val="00CC0CE4"/>
    <w:rsid w:val="00CC0F1A"/>
    <w:rsid w:val="00CC15E5"/>
    <w:rsid w:val="00CC167E"/>
    <w:rsid w:val="00CC1696"/>
    <w:rsid w:val="00CC1BF0"/>
    <w:rsid w:val="00CC201E"/>
    <w:rsid w:val="00CC21F2"/>
    <w:rsid w:val="00CC39FE"/>
    <w:rsid w:val="00CC3C96"/>
    <w:rsid w:val="00CC3D18"/>
    <w:rsid w:val="00CC3E68"/>
    <w:rsid w:val="00CC3EEA"/>
    <w:rsid w:val="00CC4A2B"/>
    <w:rsid w:val="00CC5591"/>
    <w:rsid w:val="00CC560D"/>
    <w:rsid w:val="00CC5F90"/>
    <w:rsid w:val="00CC61D8"/>
    <w:rsid w:val="00CC651B"/>
    <w:rsid w:val="00CC665F"/>
    <w:rsid w:val="00CC687B"/>
    <w:rsid w:val="00CC6A69"/>
    <w:rsid w:val="00CC759F"/>
    <w:rsid w:val="00CC75A7"/>
    <w:rsid w:val="00CC7F96"/>
    <w:rsid w:val="00CD0087"/>
    <w:rsid w:val="00CD01B3"/>
    <w:rsid w:val="00CD01B8"/>
    <w:rsid w:val="00CD0379"/>
    <w:rsid w:val="00CD0449"/>
    <w:rsid w:val="00CD07C2"/>
    <w:rsid w:val="00CD16B4"/>
    <w:rsid w:val="00CD1A26"/>
    <w:rsid w:val="00CD2445"/>
    <w:rsid w:val="00CD255B"/>
    <w:rsid w:val="00CD2E98"/>
    <w:rsid w:val="00CD3147"/>
    <w:rsid w:val="00CD3583"/>
    <w:rsid w:val="00CD362B"/>
    <w:rsid w:val="00CD389D"/>
    <w:rsid w:val="00CD38F8"/>
    <w:rsid w:val="00CD3AFE"/>
    <w:rsid w:val="00CD4D66"/>
    <w:rsid w:val="00CD4F0A"/>
    <w:rsid w:val="00CD4F28"/>
    <w:rsid w:val="00CD50B2"/>
    <w:rsid w:val="00CD5187"/>
    <w:rsid w:val="00CD57D1"/>
    <w:rsid w:val="00CD5E30"/>
    <w:rsid w:val="00CD629A"/>
    <w:rsid w:val="00CD6CA0"/>
    <w:rsid w:val="00CD6D76"/>
    <w:rsid w:val="00CD6D96"/>
    <w:rsid w:val="00CD79D7"/>
    <w:rsid w:val="00CE0150"/>
    <w:rsid w:val="00CE09D4"/>
    <w:rsid w:val="00CE0D08"/>
    <w:rsid w:val="00CE1242"/>
    <w:rsid w:val="00CE1715"/>
    <w:rsid w:val="00CE1F22"/>
    <w:rsid w:val="00CE2753"/>
    <w:rsid w:val="00CE2D28"/>
    <w:rsid w:val="00CE3168"/>
    <w:rsid w:val="00CE38B3"/>
    <w:rsid w:val="00CE41ED"/>
    <w:rsid w:val="00CE4309"/>
    <w:rsid w:val="00CE43E8"/>
    <w:rsid w:val="00CE4420"/>
    <w:rsid w:val="00CE45CA"/>
    <w:rsid w:val="00CE46A1"/>
    <w:rsid w:val="00CE4836"/>
    <w:rsid w:val="00CE4D65"/>
    <w:rsid w:val="00CE4E97"/>
    <w:rsid w:val="00CE5A8F"/>
    <w:rsid w:val="00CE5D85"/>
    <w:rsid w:val="00CE62E6"/>
    <w:rsid w:val="00CE6412"/>
    <w:rsid w:val="00CE65D8"/>
    <w:rsid w:val="00CE6AB0"/>
    <w:rsid w:val="00CE700B"/>
    <w:rsid w:val="00CE7569"/>
    <w:rsid w:val="00CE76D6"/>
    <w:rsid w:val="00CE779D"/>
    <w:rsid w:val="00CE7968"/>
    <w:rsid w:val="00CE79AC"/>
    <w:rsid w:val="00CE7BD8"/>
    <w:rsid w:val="00CF041B"/>
    <w:rsid w:val="00CF06DD"/>
    <w:rsid w:val="00CF0CB3"/>
    <w:rsid w:val="00CF0CFF"/>
    <w:rsid w:val="00CF102A"/>
    <w:rsid w:val="00CF10DF"/>
    <w:rsid w:val="00CF15BB"/>
    <w:rsid w:val="00CF179A"/>
    <w:rsid w:val="00CF19B0"/>
    <w:rsid w:val="00CF231A"/>
    <w:rsid w:val="00CF25C2"/>
    <w:rsid w:val="00CF2A16"/>
    <w:rsid w:val="00CF2AB1"/>
    <w:rsid w:val="00CF2F1B"/>
    <w:rsid w:val="00CF3290"/>
    <w:rsid w:val="00CF352C"/>
    <w:rsid w:val="00CF3EF3"/>
    <w:rsid w:val="00CF4021"/>
    <w:rsid w:val="00CF41E6"/>
    <w:rsid w:val="00CF447E"/>
    <w:rsid w:val="00CF454B"/>
    <w:rsid w:val="00CF4799"/>
    <w:rsid w:val="00CF47A4"/>
    <w:rsid w:val="00CF4F61"/>
    <w:rsid w:val="00CF55DC"/>
    <w:rsid w:val="00CF5A62"/>
    <w:rsid w:val="00CF6600"/>
    <w:rsid w:val="00CF681E"/>
    <w:rsid w:val="00CF72DB"/>
    <w:rsid w:val="00CF747B"/>
    <w:rsid w:val="00CF7FF1"/>
    <w:rsid w:val="00D006EF"/>
    <w:rsid w:val="00D00A01"/>
    <w:rsid w:val="00D01AC1"/>
    <w:rsid w:val="00D01D65"/>
    <w:rsid w:val="00D023BA"/>
    <w:rsid w:val="00D0253D"/>
    <w:rsid w:val="00D038F9"/>
    <w:rsid w:val="00D03ED1"/>
    <w:rsid w:val="00D0445C"/>
    <w:rsid w:val="00D04779"/>
    <w:rsid w:val="00D047F3"/>
    <w:rsid w:val="00D04943"/>
    <w:rsid w:val="00D04F24"/>
    <w:rsid w:val="00D052AA"/>
    <w:rsid w:val="00D055B2"/>
    <w:rsid w:val="00D059C8"/>
    <w:rsid w:val="00D0618A"/>
    <w:rsid w:val="00D061F8"/>
    <w:rsid w:val="00D06714"/>
    <w:rsid w:val="00D06D4F"/>
    <w:rsid w:val="00D071B2"/>
    <w:rsid w:val="00D07EFF"/>
    <w:rsid w:val="00D10225"/>
    <w:rsid w:val="00D10455"/>
    <w:rsid w:val="00D106C4"/>
    <w:rsid w:val="00D10C09"/>
    <w:rsid w:val="00D10CE7"/>
    <w:rsid w:val="00D10FCE"/>
    <w:rsid w:val="00D11195"/>
    <w:rsid w:val="00D111AA"/>
    <w:rsid w:val="00D111B9"/>
    <w:rsid w:val="00D118C7"/>
    <w:rsid w:val="00D11DF8"/>
    <w:rsid w:val="00D122CC"/>
    <w:rsid w:val="00D1283B"/>
    <w:rsid w:val="00D1301A"/>
    <w:rsid w:val="00D130D8"/>
    <w:rsid w:val="00D132D7"/>
    <w:rsid w:val="00D13450"/>
    <w:rsid w:val="00D1348A"/>
    <w:rsid w:val="00D138D0"/>
    <w:rsid w:val="00D13BF5"/>
    <w:rsid w:val="00D13F6B"/>
    <w:rsid w:val="00D144F9"/>
    <w:rsid w:val="00D1546E"/>
    <w:rsid w:val="00D157FB"/>
    <w:rsid w:val="00D15AFE"/>
    <w:rsid w:val="00D15D89"/>
    <w:rsid w:val="00D16842"/>
    <w:rsid w:val="00D16C67"/>
    <w:rsid w:val="00D17817"/>
    <w:rsid w:val="00D17A84"/>
    <w:rsid w:val="00D2001B"/>
    <w:rsid w:val="00D20193"/>
    <w:rsid w:val="00D20273"/>
    <w:rsid w:val="00D20677"/>
    <w:rsid w:val="00D2086A"/>
    <w:rsid w:val="00D20A75"/>
    <w:rsid w:val="00D20B82"/>
    <w:rsid w:val="00D20D5B"/>
    <w:rsid w:val="00D20F78"/>
    <w:rsid w:val="00D214AF"/>
    <w:rsid w:val="00D21783"/>
    <w:rsid w:val="00D21973"/>
    <w:rsid w:val="00D21BE8"/>
    <w:rsid w:val="00D2230B"/>
    <w:rsid w:val="00D22C6E"/>
    <w:rsid w:val="00D22F38"/>
    <w:rsid w:val="00D22FAE"/>
    <w:rsid w:val="00D237D6"/>
    <w:rsid w:val="00D23D2F"/>
    <w:rsid w:val="00D24882"/>
    <w:rsid w:val="00D24E9E"/>
    <w:rsid w:val="00D25AC0"/>
    <w:rsid w:val="00D25C20"/>
    <w:rsid w:val="00D25CDF"/>
    <w:rsid w:val="00D25DEC"/>
    <w:rsid w:val="00D2672F"/>
    <w:rsid w:val="00D267B9"/>
    <w:rsid w:val="00D268D4"/>
    <w:rsid w:val="00D2690D"/>
    <w:rsid w:val="00D269F4"/>
    <w:rsid w:val="00D27111"/>
    <w:rsid w:val="00D271FB"/>
    <w:rsid w:val="00D2737C"/>
    <w:rsid w:val="00D27AE5"/>
    <w:rsid w:val="00D27B4E"/>
    <w:rsid w:val="00D30004"/>
    <w:rsid w:val="00D30244"/>
    <w:rsid w:val="00D30C78"/>
    <w:rsid w:val="00D30EEC"/>
    <w:rsid w:val="00D31290"/>
    <w:rsid w:val="00D31D03"/>
    <w:rsid w:val="00D31E85"/>
    <w:rsid w:val="00D3229A"/>
    <w:rsid w:val="00D3276C"/>
    <w:rsid w:val="00D3286F"/>
    <w:rsid w:val="00D32A67"/>
    <w:rsid w:val="00D32B5F"/>
    <w:rsid w:val="00D32EE4"/>
    <w:rsid w:val="00D32F1A"/>
    <w:rsid w:val="00D330CA"/>
    <w:rsid w:val="00D331EA"/>
    <w:rsid w:val="00D3336F"/>
    <w:rsid w:val="00D33531"/>
    <w:rsid w:val="00D33F13"/>
    <w:rsid w:val="00D34CB1"/>
    <w:rsid w:val="00D34D6D"/>
    <w:rsid w:val="00D34F5C"/>
    <w:rsid w:val="00D352A3"/>
    <w:rsid w:val="00D353CA"/>
    <w:rsid w:val="00D355CD"/>
    <w:rsid w:val="00D35A74"/>
    <w:rsid w:val="00D35E37"/>
    <w:rsid w:val="00D3682A"/>
    <w:rsid w:val="00D36B64"/>
    <w:rsid w:val="00D36C89"/>
    <w:rsid w:val="00D37ECE"/>
    <w:rsid w:val="00D40032"/>
    <w:rsid w:val="00D404CC"/>
    <w:rsid w:val="00D4050A"/>
    <w:rsid w:val="00D405CA"/>
    <w:rsid w:val="00D406A2"/>
    <w:rsid w:val="00D4084C"/>
    <w:rsid w:val="00D4102A"/>
    <w:rsid w:val="00D411B6"/>
    <w:rsid w:val="00D414C3"/>
    <w:rsid w:val="00D41F0D"/>
    <w:rsid w:val="00D423DE"/>
    <w:rsid w:val="00D425B8"/>
    <w:rsid w:val="00D426D3"/>
    <w:rsid w:val="00D42B20"/>
    <w:rsid w:val="00D433BA"/>
    <w:rsid w:val="00D43681"/>
    <w:rsid w:val="00D438FD"/>
    <w:rsid w:val="00D43C51"/>
    <w:rsid w:val="00D4455D"/>
    <w:rsid w:val="00D445E1"/>
    <w:rsid w:val="00D44744"/>
    <w:rsid w:val="00D44E94"/>
    <w:rsid w:val="00D4500E"/>
    <w:rsid w:val="00D451E8"/>
    <w:rsid w:val="00D4551B"/>
    <w:rsid w:val="00D45EAB"/>
    <w:rsid w:val="00D46151"/>
    <w:rsid w:val="00D46FAB"/>
    <w:rsid w:val="00D471B1"/>
    <w:rsid w:val="00D471B6"/>
    <w:rsid w:val="00D47A8E"/>
    <w:rsid w:val="00D47EC3"/>
    <w:rsid w:val="00D5023E"/>
    <w:rsid w:val="00D504EB"/>
    <w:rsid w:val="00D5077D"/>
    <w:rsid w:val="00D50D69"/>
    <w:rsid w:val="00D50F5D"/>
    <w:rsid w:val="00D51478"/>
    <w:rsid w:val="00D517E2"/>
    <w:rsid w:val="00D51C0C"/>
    <w:rsid w:val="00D526D1"/>
    <w:rsid w:val="00D52FCF"/>
    <w:rsid w:val="00D53B31"/>
    <w:rsid w:val="00D53E07"/>
    <w:rsid w:val="00D55186"/>
    <w:rsid w:val="00D55573"/>
    <w:rsid w:val="00D55D0B"/>
    <w:rsid w:val="00D5672D"/>
    <w:rsid w:val="00D569D4"/>
    <w:rsid w:val="00D56CC9"/>
    <w:rsid w:val="00D57232"/>
    <w:rsid w:val="00D5724B"/>
    <w:rsid w:val="00D5750F"/>
    <w:rsid w:val="00D576E7"/>
    <w:rsid w:val="00D57A89"/>
    <w:rsid w:val="00D57B22"/>
    <w:rsid w:val="00D60733"/>
    <w:rsid w:val="00D608D0"/>
    <w:rsid w:val="00D60C9F"/>
    <w:rsid w:val="00D61446"/>
    <w:rsid w:val="00D6272F"/>
    <w:rsid w:val="00D62DF3"/>
    <w:rsid w:val="00D631BE"/>
    <w:rsid w:val="00D631DF"/>
    <w:rsid w:val="00D63467"/>
    <w:rsid w:val="00D63536"/>
    <w:rsid w:val="00D63E11"/>
    <w:rsid w:val="00D647AD"/>
    <w:rsid w:val="00D65765"/>
    <w:rsid w:val="00D65A6D"/>
    <w:rsid w:val="00D65CA8"/>
    <w:rsid w:val="00D6654B"/>
    <w:rsid w:val="00D66993"/>
    <w:rsid w:val="00D673B9"/>
    <w:rsid w:val="00D704A5"/>
    <w:rsid w:val="00D705EF"/>
    <w:rsid w:val="00D70797"/>
    <w:rsid w:val="00D70C7B"/>
    <w:rsid w:val="00D70D3B"/>
    <w:rsid w:val="00D70EE6"/>
    <w:rsid w:val="00D7144B"/>
    <w:rsid w:val="00D71457"/>
    <w:rsid w:val="00D7175B"/>
    <w:rsid w:val="00D71E20"/>
    <w:rsid w:val="00D727F0"/>
    <w:rsid w:val="00D735B0"/>
    <w:rsid w:val="00D737C3"/>
    <w:rsid w:val="00D73B72"/>
    <w:rsid w:val="00D73BE1"/>
    <w:rsid w:val="00D73E95"/>
    <w:rsid w:val="00D73FE4"/>
    <w:rsid w:val="00D744F1"/>
    <w:rsid w:val="00D74895"/>
    <w:rsid w:val="00D74BA5"/>
    <w:rsid w:val="00D74CC4"/>
    <w:rsid w:val="00D754B5"/>
    <w:rsid w:val="00D7551F"/>
    <w:rsid w:val="00D75535"/>
    <w:rsid w:val="00D75FF0"/>
    <w:rsid w:val="00D7615B"/>
    <w:rsid w:val="00D76271"/>
    <w:rsid w:val="00D76347"/>
    <w:rsid w:val="00D763BC"/>
    <w:rsid w:val="00D76B53"/>
    <w:rsid w:val="00D76C2A"/>
    <w:rsid w:val="00D76C86"/>
    <w:rsid w:val="00D7717C"/>
    <w:rsid w:val="00D77252"/>
    <w:rsid w:val="00D77CDD"/>
    <w:rsid w:val="00D77D8F"/>
    <w:rsid w:val="00D80342"/>
    <w:rsid w:val="00D8067E"/>
    <w:rsid w:val="00D80D42"/>
    <w:rsid w:val="00D81861"/>
    <w:rsid w:val="00D818AD"/>
    <w:rsid w:val="00D81918"/>
    <w:rsid w:val="00D8192C"/>
    <w:rsid w:val="00D8196A"/>
    <w:rsid w:val="00D819D0"/>
    <w:rsid w:val="00D81A0F"/>
    <w:rsid w:val="00D81BF7"/>
    <w:rsid w:val="00D81C6E"/>
    <w:rsid w:val="00D81CC3"/>
    <w:rsid w:val="00D81F5A"/>
    <w:rsid w:val="00D8273D"/>
    <w:rsid w:val="00D830CB"/>
    <w:rsid w:val="00D8349C"/>
    <w:rsid w:val="00D83CA0"/>
    <w:rsid w:val="00D84083"/>
    <w:rsid w:val="00D843CB"/>
    <w:rsid w:val="00D84565"/>
    <w:rsid w:val="00D847BB"/>
    <w:rsid w:val="00D8488E"/>
    <w:rsid w:val="00D84DA2"/>
    <w:rsid w:val="00D852B6"/>
    <w:rsid w:val="00D85A88"/>
    <w:rsid w:val="00D85D3E"/>
    <w:rsid w:val="00D85DB4"/>
    <w:rsid w:val="00D866DE"/>
    <w:rsid w:val="00D875D4"/>
    <w:rsid w:val="00D90062"/>
    <w:rsid w:val="00D9093C"/>
    <w:rsid w:val="00D91355"/>
    <w:rsid w:val="00D915C5"/>
    <w:rsid w:val="00D91B7C"/>
    <w:rsid w:val="00D92173"/>
    <w:rsid w:val="00D9228C"/>
    <w:rsid w:val="00D924F6"/>
    <w:rsid w:val="00D9264F"/>
    <w:rsid w:val="00D92CF6"/>
    <w:rsid w:val="00D92D4D"/>
    <w:rsid w:val="00D930A6"/>
    <w:rsid w:val="00D93104"/>
    <w:rsid w:val="00D93507"/>
    <w:rsid w:val="00D938FA"/>
    <w:rsid w:val="00D93973"/>
    <w:rsid w:val="00D943E4"/>
    <w:rsid w:val="00D94552"/>
    <w:rsid w:val="00D9499C"/>
    <w:rsid w:val="00D94E91"/>
    <w:rsid w:val="00D95133"/>
    <w:rsid w:val="00D953C6"/>
    <w:rsid w:val="00D95ADC"/>
    <w:rsid w:val="00D965C6"/>
    <w:rsid w:val="00D96632"/>
    <w:rsid w:val="00D972E7"/>
    <w:rsid w:val="00D9743A"/>
    <w:rsid w:val="00D97EE9"/>
    <w:rsid w:val="00DA063C"/>
    <w:rsid w:val="00DA1276"/>
    <w:rsid w:val="00DA1866"/>
    <w:rsid w:val="00DA19E4"/>
    <w:rsid w:val="00DA1B59"/>
    <w:rsid w:val="00DA249B"/>
    <w:rsid w:val="00DA2742"/>
    <w:rsid w:val="00DA3126"/>
    <w:rsid w:val="00DA3636"/>
    <w:rsid w:val="00DA396F"/>
    <w:rsid w:val="00DA3976"/>
    <w:rsid w:val="00DA3A16"/>
    <w:rsid w:val="00DA3A40"/>
    <w:rsid w:val="00DA3AC3"/>
    <w:rsid w:val="00DA43B7"/>
    <w:rsid w:val="00DA46E9"/>
    <w:rsid w:val="00DA48EE"/>
    <w:rsid w:val="00DA4CBE"/>
    <w:rsid w:val="00DA4D2A"/>
    <w:rsid w:val="00DA65F6"/>
    <w:rsid w:val="00DA68A7"/>
    <w:rsid w:val="00DA68AC"/>
    <w:rsid w:val="00DA6995"/>
    <w:rsid w:val="00DA6BD5"/>
    <w:rsid w:val="00DA6E4C"/>
    <w:rsid w:val="00DA712F"/>
    <w:rsid w:val="00DA7510"/>
    <w:rsid w:val="00DA76FA"/>
    <w:rsid w:val="00DA7800"/>
    <w:rsid w:val="00DA7AC9"/>
    <w:rsid w:val="00DA7D78"/>
    <w:rsid w:val="00DB0BEE"/>
    <w:rsid w:val="00DB0D54"/>
    <w:rsid w:val="00DB0E97"/>
    <w:rsid w:val="00DB144D"/>
    <w:rsid w:val="00DB1A6E"/>
    <w:rsid w:val="00DB1ABB"/>
    <w:rsid w:val="00DB1C81"/>
    <w:rsid w:val="00DB1CC9"/>
    <w:rsid w:val="00DB1F64"/>
    <w:rsid w:val="00DB236A"/>
    <w:rsid w:val="00DB2403"/>
    <w:rsid w:val="00DB2BD0"/>
    <w:rsid w:val="00DB2FE1"/>
    <w:rsid w:val="00DB32F7"/>
    <w:rsid w:val="00DB3355"/>
    <w:rsid w:val="00DB386F"/>
    <w:rsid w:val="00DB38B0"/>
    <w:rsid w:val="00DB3C50"/>
    <w:rsid w:val="00DB4050"/>
    <w:rsid w:val="00DB48CC"/>
    <w:rsid w:val="00DB4995"/>
    <w:rsid w:val="00DB4AA5"/>
    <w:rsid w:val="00DB4C9E"/>
    <w:rsid w:val="00DB5B82"/>
    <w:rsid w:val="00DB5DFD"/>
    <w:rsid w:val="00DB62EF"/>
    <w:rsid w:val="00DB65EB"/>
    <w:rsid w:val="00DB680A"/>
    <w:rsid w:val="00DB69CF"/>
    <w:rsid w:val="00DB6C98"/>
    <w:rsid w:val="00DB7754"/>
    <w:rsid w:val="00DB7905"/>
    <w:rsid w:val="00DC019B"/>
    <w:rsid w:val="00DC0502"/>
    <w:rsid w:val="00DC086B"/>
    <w:rsid w:val="00DC1547"/>
    <w:rsid w:val="00DC25AD"/>
    <w:rsid w:val="00DC2A04"/>
    <w:rsid w:val="00DC310B"/>
    <w:rsid w:val="00DC35A9"/>
    <w:rsid w:val="00DC39A7"/>
    <w:rsid w:val="00DC4375"/>
    <w:rsid w:val="00DC45F6"/>
    <w:rsid w:val="00DC4AF0"/>
    <w:rsid w:val="00DC4BC9"/>
    <w:rsid w:val="00DC4C57"/>
    <w:rsid w:val="00DC4CA8"/>
    <w:rsid w:val="00DC57A9"/>
    <w:rsid w:val="00DC60DE"/>
    <w:rsid w:val="00DC61EE"/>
    <w:rsid w:val="00DC688E"/>
    <w:rsid w:val="00DC6CE7"/>
    <w:rsid w:val="00DC6F37"/>
    <w:rsid w:val="00DC7149"/>
    <w:rsid w:val="00DC755C"/>
    <w:rsid w:val="00DC77EC"/>
    <w:rsid w:val="00DC7DA0"/>
    <w:rsid w:val="00DC7FAD"/>
    <w:rsid w:val="00DD0E0B"/>
    <w:rsid w:val="00DD135B"/>
    <w:rsid w:val="00DD14AC"/>
    <w:rsid w:val="00DD1541"/>
    <w:rsid w:val="00DD16F2"/>
    <w:rsid w:val="00DD18BD"/>
    <w:rsid w:val="00DD194F"/>
    <w:rsid w:val="00DD1D5E"/>
    <w:rsid w:val="00DD1E59"/>
    <w:rsid w:val="00DD1F6A"/>
    <w:rsid w:val="00DD1FF4"/>
    <w:rsid w:val="00DD2167"/>
    <w:rsid w:val="00DD2260"/>
    <w:rsid w:val="00DD2905"/>
    <w:rsid w:val="00DD2994"/>
    <w:rsid w:val="00DD3501"/>
    <w:rsid w:val="00DD3B35"/>
    <w:rsid w:val="00DD3DC5"/>
    <w:rsid w:val="00DD4185"/>
    <w:rsid w:val="00DD425E"/>
    <w:rsid w:val="00DD4A17"/>
    <w:rsid w:val="00DD4DCC"/>
    <w:rsid w:val="00DD4E61"/>
    <w:rsid w:val="00DD5173"/>
    <w:rsid w:val="00DD51AC"/>
    <w:rsid w:val="00DD5468"/>
    <w:rsid w:val="00DD5819"/>
    <w:rsid w:val="00DD58F1"/>
    <w:rsid w:val="00DD592E"/>
    <w:rsid w:val="00DD5FEB"/>
    <w:rsid w:val="00DD61D7"/>
    <w:rsid w:val="00DD69E6"/>
    <w:rsid w:val="00DD6A2F"/>
    <w:rsid w:val="00DD6FAD"/>
    <w:rsid w:val="00DD76B9"/>
    <w:rsid w:val="00DD7A36"/>
    <w:rsid w:val="00DD7CE5"/>
    <w:rsid w:val="00DD7ECB"/>
    <w:rsid w:val="00DD7FB6"/>
    <w:rsid w:val="00DE0EA7"/>
    <w:rsid w:val="00DE0F51"/>
    <w:rsid w:val="00DE1265"/>
    <w:rsid w:val="00DE130F"/>
    <w:rsid w:val="00DE159D"/>
    <w:rsid w:val="00DE1A0A"/>
    <w:rsid w:val="00DE1DA2"/>
    <w:rsid w:val="00DE2AF8"/>
    <w:rsid w:val="00DE2B8F"/>
    <w:rsid w:val="00DE2DF9"/>
    <w:rsid w:val="00DE2F0B"/>
    <w:rsid w:val="00DE319A"/>
    <w:rsid w:val="00DE31FA"/>
    <w:rsid w:val="00DE3A5B"/>
    <w:rsid w:val="00DE4177"/>
    <w:rsid w:val="00DE429D"/>
    <w:rsid w:val="00DE4504"/>
    <w:rsid w:val="00DE45E3"/>
    <w:rsid w:val="00DE4BDB"/>
    <w:rsid w:val="00DE4D86"/>
    <w:rsid w:val="00DE4DEE"/>
    <w:rsid w:val="00DE5C51"/>
    <w:rsid w:val="00DE6326"/>
    <w:rsid w:val="00DE66F5"/>
    <w:rsid w:val="00DE71B3"/>
    <w:rsid w:val="00DE757F"/>
    <w:rsid w:val="00DF0023"/>
    <w:rsid w:val="00DF039A"/>
    <w:rsid w:val="00DF0734"/>
    <w:rsid w:val="00DF07C7"/>
    <w:rsid w:val="00DF0B21"/>
    <w:rsid w:val="00DF26E5"/>
    <w:rsid w:val="00DF2C31"/>
    <w:rsid w:val="00DF327F"/>
    <w:rsid w:val="00DF32B8"/>
    <w:rsid w:val="00DF3383"/>
    <w:rsid w:val="00DF48F2"/>
    <w:rsid w:val="00DF49A1"/>
    <w:rsid w:val="00DF568C"/>
    <w:rsid w:val="00DF56C0"/>
    <w:rsid w:val="00DF572A"/>
    <w:rsid w:val="00DF588F"/>
    <w:rsid w:val="00DF5E57"/>
    <w:rsid w:val="00DF5F0A"/>
    <w:rsid w:val="00DF6149"/>
    <w:rsid w:val="00DF65AD"/>
    <w:rsid w:val="00DF66AD"/>
    <w:rsid w:val="00DF6FB8"/>
    <w:rsid w:val="00DF7A0A"/>
    <w:rsid w:val="00DF7B54"/>
    <w:rsid w:val="00DF7CA7"/>
    <w:rsid w:val="00DF7F2F"/>
    <w:rsid w:val="00E001C2"/>
    <w:rsid w:val="00E004DD"/>
    <w:rsid w:val="00E0070E"/>
    <w:rsid w:val="00E00781"/>
    <w:rsid w:val="00E00AE8"/>
    <w:rsid w:val="00E00C25"/>
    <w:rsid w:val="00E00E3D"/>
    <w:rsid w:val="00E011D9"/>
    <w:rsid w:val="00E01690"/>
    <w:rsid w:val="00E01C8D"/>
    <w:rsid w:val="00E01F07"/>
    <w:rsid w:val="00E02423"/>
    <w:rsid w:val="00E02466"/>
    <w:rsid w:val="00E0276F"/>
    <w:rsid w:val="00E028B9"/>
    <w:rsid w:val="00E02B40"/>
    <w:rsid w:val="00E02C2D"/>
    <w:rsid w:val="00E04311"/>
    <w:rsid w:val="00E04615"/>
    <w:rsid w:val="00E04676"/>
    <w:rsid w:val="00E0486C"/>
    <w:rsid w:val="00E0520D"/>
    <w:rsid w:val="00E052F8"/>
    <w:rsid w:val="00E06083"/>
    <w:rsid w:val="00E067F9"/>
    <w:rsid w:val="00E06A8B"/>
    <w:rsid w:val="00E06B7E"/>
    <w:rsid w:val="00E071C2"/>
    <w:rsid w:val="00E072DA"/>
    <w:rsid w:val="00E10EF9"/>
    <w:rsid w:val="00E10F21"/>
    <w:rsid w:val="00E123B6"/>
    <w:rsid w:val="00E12535"/>
    <w:rsid w:val="00E12BBA"/>
    <w:rsid w:val="00E12D40"/>
    <w:rsid w:val="00E14D30"/>
    <w:rsid w:val="00E14E65"/>
    <w:rsid w:val="00E14F44"/>
    <w:rsid w:val="00E1510D"/>
    <w:rsid w:val="00E152E4"/>
    <w:rsid w:val="00E15358"/>
    <w:rsid w:val="00E15694"/>
    <w:rsid w:val="00E1574F"/>
    <w:rsid w:val="00E15B9A"/>
    <w:rsid w:val="00E15E01"/>
    <w:rsid w:val="00E15F1B"/>
    <w:rsid w:val="00E16B7E"/>
    <w:rsid w:val="00E16F5F"/>
    <w:rsid w:val="00E17233"/>
    <w:rsid w:val="00E17547"/>
    <w:rsid w:val="00E175E8"/>
    <w:rsid w:val="00E17A9F"/>
    <w:rsid w:val="00E20689"/>
    <w:rsid w:val="00E21425"/>
    <w:rsid w:val="00E21779"/>
    <w:rsid w:val="00E22198"/>
    <w:rsid w:val="00E2306D"/>
    <w:rsid w:val="00E23194"/>
    <w:rsid w:val="00E23393"/>
    <w:rsid w:val="00E2365F"/>
    <w:rsid w:val="00E23841"/>
    <w:rsid w:val="00E23C82"/>
    <w:rsid w:val="00E23E9C"/>
    <w:rsid w:val="00E23F5F"/>
    <w:rsid w:val="00E24419"/>
    <w:rsid w:val="00E246C6"/>
    <w:rsid w:val="00E24882"/>
    <w:rsid w:val="00E24C11"/>
    <w:rsid w:val="00E250D3"/>
    <w:rsid w:val="00E252F0"/>
    <w:rsid w:val="00E2530C"/>
    <w:rsid w:val="00E2586E"/>
    <w:rsid w:val="00E2593A"/>
    <w:rsid w:val="00E25E81"/>
    <w:rsid w:val="00E2623A"/>
    <w:rsid w:val="00E2671A"/>
    <w:rsid w:val="00E274CE"/>
    <w:rsid w:val="00E27D7E"/>
    <w:rsid w:val="00E30BAF"/>
    <w:rsid w:val="00E30C37"/>
    <w:rsid w:val="00E31005"/>
    <w:rsid w:val="00E312DC"/>
    <w:rsid w:val="00E312DD"/>
    <w:rsid w:val="00E31495"/>
    <w:rsid w:val="00E31BBA"/>
    <w:rsid w:val="00E31E00"/>
    <w:rsid w:val="00E31FD4"/>
    <w:rsid w:val="00E32283"/>
    <w:rsid w:val="00E3255A"/>
    <w:rsid w:val="00E325BF"/>
    <w:rsid w:val="00E32884"/>
    <w:rsid w:val="00E32A64"/>
    <w:rsid w:val="00E3303A"/>
    <w:rsid w:val="00E3336B"/>
    <w:rsid w:val="00E33415"/>
    <w:rsid w:val="00E334D8"/>
    <w:rsid w:val="00E33AEB"/>
    <w:rsid w:val="00E33E2F"/>
    <w:rsid w:val="00E34AE5"/>
    <w:rsid w:val="00E35114"/>
    <w:rsid w:val="00E354C3"/>
    <w:rsid w:val="00E35667"/>
    <w:rsid w:val="00E35943"/>
    <w:rsid w:val="00E35DC8"/>
    <w:rsid w:val="00E36D9C"/>
    <w:rsid w:val="00E36EC9"/>
    <w:rsid w:val="00E37E31"/>
    <w:rsid w:val="00E404A9"/>
    <w:rsid w:val="00E405EB"/>
    <w:rsid w:val="00E40F04"/>
    <w:rsid w:val="00E40FEA"/>
    <w:rsid w:val="00E4195E"/>
    <w:rsid w:val="00E4196F"/>
    <w:rsid w:val="00E41BFD"/>
    <w:rsid w:val="00E41CBD"/>
    <w:rsid w:val="00E41EC2"/>
    <w:rsid w:val="00E4212B"/>
    <w:rsid w:val="00E42131"/>
    <w:rsid w:val="00E4270C"/>
    <w:rsid w:val="00E42CF0"/>
    <w:rsid w:val="00E42DBD"/>
    <w:rsid w:val="00E430BD"/>
    <w:rsid w:val="00E437C9"/>
    <w:rsid w:val="00E44719"/>
    <w:rsid w:val="00E4481F"/>
    <w:rsid w:val="00E44EDD"/>
    <w:rsid w:val="00E450CC"/>
    <w:rsid w:val="00E45257"/>
    <w:rsid w:val="00E45461"/>
    <w:rsid w:val="00E4547B"/>
    <w:rsid w:val="00E459BF"/>
    <w:rsid w:val="00E45E77"/>
    <w:rsid w:val="00E465CC"/>
    <w:rsid w:val="00E46711"/>
    <w:rsid w:val="00E469D7"/>
    <w:rsid w:val="00E46D3F"/>
    <w:rsid w:val="00E46DCC"/>
    <w:rsid w:val="00E46FB5"/>
    <w:rsid w:val="00E4714D"/>
    <w:rsid w:val="00E47D5B"/>
    <w:rsid w:val="00E47EAE"/>
    <w:rsid w:val="00E50219"/>
    <w:rsid w:val="00E502EA"/>
    <w:rsid w:val="00E50568"/>
    <w:rsid w:val="00E50659"/>
    <w:rsid w:val="00E50CE5"/>
    <w:rsid w:val="00E511D4"/>
    <w:rsid w:val="00E512B6"/>
    <w:rsid w:val="00E521C9"/>
    <w:rsid w:val="00E52CA5"/>
    <w:rsid w:val="00E5311A"/>
    <w:rsid w:val="00E53B64"/>
    <w:rsid w:val="00E53DD3"/>
    <w:rsid w:val="00E54436"/>
    <w:rsid w:val="00E5483F"/>
    <w:rsid w:val="00E548EA"/>
    <w:rsid w:val="00E54E42"/>
    <w:rsid w:val="00E55226"/>
    <w:rsid w:val="00E552B6"/>
    <w:rsid w:val="00E554F1"/>
    <w:rsid w:val="00E55628"/>
    <w:rsid w:val="00E55723"/>
    <w:rsid w:val="00E5605D"/>
    <w:rsid w:val="00E568BA"/>
    <w:rsid w:val="00E5694A"/>
    <w:rsid w:val="00E571C7"/>
    <w:rsid w:val="00E57534"/>
    <w:rsid w:val="00E578FA"/>
    <w:rsid w:val="00E5798E"/>
    <w:rsid w:val="00E6037D"/>
    <w:rsid w:val="00E60623"/>
    <w:rsid w:val="00E6077C"/>
    <w:rsid w:val="00E6091F"/>
    <w:rsid w:val="00E60E00"/>
    <w:rsid w:val="00E60E4A"/>
    <w:rsid w:val="00E613BB"/>
    <w:rsid w:val="00E61683"/>
    <w:rsid w:val="00E6192C"/>
    <w:rsid w:val="00E61A23"/>
    <w:rsid w:val="00E624A1"/>
    <w:rsid w:val="00E62897"/>
    <w:rsid w:val="00E62B80"/>
    <w:rsid w:val="00E62F39"/>
    <w:rsid w:val="00E632A5"/>
    <w:rsid w:val="00E63B75"/>
    <w:rsid w:val="00E643C3"/>
    <w:rsid w:val="00E647D3"/>
    <w:rsid w:val="00E64A79"/>
    <w:rsid w:val="00E64FB8"/>
    <w:rsid w:val="00E65218"/>
    <w:rsid w:val="00E652B0"/>
    <w:rsid w:val="00E653B3"/>
    <w:rsid w:val="00E6542E"/>
    <w:rsid w:val="00E65496"/>
    <w:rsid w:val="00E65C1F"/>
    <w:rsid w:val="00E65C6D"/>
    <w:rsid w:val="00E66220"/>
    <w:rsid w:val="00E66735"/>
    <w:rsid w:val="00E669FE"/>
    <w:rsid w:val="00E67023"/>
    <w:rsid w:val="00E6749A"/>
    <w:rsid w:val="00E67D80"/>
    <w:rsid w:val="00E70B9B"/>
    <w:rsid w:val="00E70BBB"/>
    <w:rsid w:val="00E70F13"/>
    <w:rsid w:val="00E71360"/>
    <w:rsid w:val="00E714DA"/>
    <w:rsid w:val="00E714FC"/>
    <w:rsid w:val="00E71721"/>
    <w:rsid w:val="00E71D04"/>
    <w:rsid w:val="00E71EC9"/>
    <w:rsid w:val="00E71F51"/>
    <w:rsid w:val="00E7255D"/>
    <w:rsid w:val="00E73192"/>
    <w:rsid w:val="00E739AE"/>
    <w:rsid w:val="00E73A0E"/>
    <w:rsid w:val="00E74632"/>
    <w:rsid w:val="00E74656"/>
    <w:rsid w:val="00E7475B"/>
    <w:rsid w:val="00E7491C"/>
    <w:rsid w:val="00E74B93"/>
    <w:rsid w:val="00E74DAD"/>
    <w:rsid w:val="00E752E7"/>
    <w:rsid w:val="00E756C8"/>
    <w:rsid w:val="00E75B55"/>
    <w:rsid w:val="00E75B78"/>
    <w:rsid w:val="00E764B9"/>
    <w:rsid w:val="00E77F69"/>
    <w:rsid w:val="00E80453"/>
    <w:rsid w:val="00E807C3"/>
    <w:rsid w:val="00E80AD8"/>
    <w:rsid w:val="00E810BF"/>
    <w:rsid w:val="00E817C1"/>
    <w:rsid w:val="00E82CEC"/>
    <w:rsid w:val="00E82D49"/>
    <w:rsid w:val="00E835E3"/>
    <w:rsid w:val="00E83704"/>
    <w:rsid w:val="00E83C00"/>
    <w:rsid w:val="00E83E48"/>
    <w:rsid w:val="00E83F7B"/>
    <w:rsid w:val="00E84E16"/>
    <w:rsid w:val="00E85108"/>
    <w:rsid w:val="00E857FB"/>
    <w:rsid w:val="00E85840"/>
    <w:rsid w:val="00E8596A"/>
    <w:rsid w:val="00E864C7"/>
    <w:rsid w:val="00E86572"/>
    <w:rsid w:val="00E86694"/>
    <w:rsid w:val="00E86F00"/>
    <w:rsid w:val="00E87089"/>
    <w:rsid w:val="00E872AE"/>
    <w:rsid w:val="00E876CA"/>
    <w:rsid w:val="00E90682"/>
    <w:rsid w:val="00E909A1"/>
    <w:rsid w:val="00E90AD2"/>
    <w:rsid w:val="00E90DBA"/>
    <w:rsid w:val="00E90FFA"/>
    <w:rsid w:val="00E91022"/>
    <w:rsid w:val="00E91914"/>
    <w:rsid w:val="00E91BBF"/>
    <w:rsid w:val="00E925A1"/>
    <w:rsid w:val="00E9263F"/>
    <w:rsid w:val="00E92A3E"/>
    <w:rsid w:val="00E9344A"/>
    <w:rsid w:val="00E94096"/>
    <w:rsid w:val="00E94849"/>
    <w:rsid w:val="00E948E3"/>
    <w:rsid w:val="00E949CC"/>
    <w:rsid w:val="00E94B7C"/>
    <w:rsid w:val="00E9511D"/>
    <w:rsid w:val="00E95D3D"/>
    <w:rsid w:val="00E95D7C"/>
    <w:rsid w:val="00E96556"/>
    <w:rsid w:val="00E969CF"/>
    <w:rsid w:val="00E96F72"/>
    <w:rsid w:val="00E97221"/>
    <w:rsid w:val="00E9728F"/>
    <w:rsid w:val="00E97618"/>
    <w:rsid w:val="00E97657"/>
    <w:rsid w:val="00E979B0"/>
    <w:rsid w:val="00E979F8"/>
    <w:rsid w:val="00E97AFA"/>
    <w:rsid w:val="00E97CE0"/>
    <w:rsid w:val="00E97F9E"/>
    <w:rsid w:val="00EA02CE"/>
    <w:rsid w:val="00EA0480"/>
    <w:rsid w:val="00EA0694"/>
    <w:rsid w:val="00EA13D1"/>
    <w:rsid w:val="00EA14EE"/>
    <w:rsid w:val="00EA1620"/>
    <w:rsid w:val="00EA1AF7"/>
    <w:rsid w:val="00EA1BBD"/>
    <w:rsid w:val="00EA24E8"/>
    <w:rsid w:val="00EA270B"/>
    <w:rsid w:val="00EA2CF4"/>
    <w:rsid w:val="00EA2D14"/>
    <w:rsid w:val="00EA319B"/>
    <w:rsid w:val="00EA3291"/>
    <w:rsid w:val="00EA33F1"/>
    <w:rsid w:val="00EA35FE"/>
    <w:rsid w:val="00EA4196"/>
    <w:rsid w:val="00EA47C9"/>
    <w:rsid w:val="00EA4913"/>
    <w:rsid w:val="00EA4A52"/>
    <w:rsid w:val="00EA4C9F"/>
    <w:rsid w:val="00EA4CCB"/>
    <w:rsid w:val="00EA4D69"/>
    <w:rsid w:val="00EA4DC2"/>
    <w:rsid w:val="00EA4FA7"/>
    <w:rsid w:val="00EA5015"/>
    <w:rsid w:val="00EA55FB"/>
    <w:rsid w:val="00EA57BD"/>
    <w:rsid w:val="00EA5E74"/>
    <w:rsid w:val="00EA5EC7"/>
    <w:rsid w:val="00EA6A0F"/>
    <w:rsid w:val="00EA6C6C"/>
    <w:rsid w:val="00EA6D1B"/>
    <w:rsid w:val="00EA70D1"/>
    <w:rsid w:val="00EA73CA"/>
    <w:rsid w:val="00EA76C1"/>
    <w:rsid w:val="00EA7D1A"/>
    <w:rsid w:val="00EB0532"/>
    <w:rsid w:val="00EB0B0E"/>
    <w:rsid w:val="00EB0C27"/>
    <w:rsid w:val="00EB1004"/>
    <w:rsid w:val="00EB1249"/>
    <w:rsid w:val="00EB159A"/>
    <w:rsid w:val="00EB1821"/>
    <w:rsid w:val="00EB183B"/>
    <w:rsid w:val="00EB183D"/>
    <w:rsid w:val="00EB1D73"/>
    <w:rsid w:val="00EB1E10"/>
    <w:rsid w:val="00EB23EA"/>
    <w:rsid w:val="00EB25A2"/>
    <w:rsid w:val="00EB3325"/>
    <w:rsid w:val="00EB3511"/>
    <w:rsid w:val="00EB3A40"/>
    <w:rsid w:val="00EB3D8C"/>
    <w:rsid w:val="00EB44E3"/>
    <w:rsid w:val="00EB44F4"/>
    <w:rsid w:val="00EB480E"/>
    <w:rsid w:val="00EB4ED8"/>
    <w:rsid w:val="00EB5222"/>
    <w:rsid w:val="00EB54A8"/>
    <w:rsid w:val="00EB57D3"/>
    <w:rsid w:val="00EB5C24"/>
    <w:rsid w:val="00EB5E6B"/>
    <w:rsid w:val="00EB5E7C"/>
    <w:rsid w:val="00EB5F3D"/>
    <w:rsid w:val="00EB6033"/>
    <w:rsid w:val="00EB6157"/>
    <w:rsid w:val="00EB6637"/>
    <w:rsid w:val="00EB6B72"/>
    <w:rsid w:val="00EB703C"/>
    <w:rsid w:val="00EB72A0"/>
    <w:rsid w:val="00EB72C7"/>
    <w:rsid w:val="00EC0058"/>
    <w:rsid w:val="00EC015E"/>
    <w:rsid w:val="00EC0480"/>
    <w:rsid w:val="00EC048B"/>
    <w:rsid w:val="00EC0589"/>
    <w:rsid w:val="00EC0B8A"/>
    <w:rsid w:val="00EC0F30"/>
    <w:rsid w:val="00EC1040"/>
    <w:rsid w:val="00EC1074"/>
    <w:rsid w:val="00EC121C"/>
    <w:rsid w:val="00EC133B"/>
    <w:rsid w:val="00EC1623"/>
    <w:rsid w:val="00EC16A7"/>
    <w:rsid w:val="00EC1B73"/>
    <w:rsid w:val="00EC1D14"/>
    <w:rsid w:val="00EC1F33"/>
    <w:rsid w:val="00EC1F36"/>
    <w:rsid w:val="00EC1FB0"/>
    <w:rsid w:val="00EC2268"/>
    <w:rsid w:val="00EC22D9"/>
    <w:rsid w:val="00EC2797"/>
    <w:rsid w:val="00EC2C22"/>
    <w:rsid w:val="00EC2F21"/>
    <w:rsid w:val="00EC3661"/>
    <w:rsid w:val="00EC373E"/>
    <w:rsid w:val="00EC3BDA"/>
    <w:rsid w:val="00EC4622"/>
    <w:rsid w:val="00EC4C89"/>
    <w:rsid w:val="00EC59E2"/>
    <w:rsid w:val="00EC5D6F"/>
    <w:rsid w:val="00EC6811"/>
    <w:rsid w:val="00EC694D"/>
    <w:rsid w:val="00EC6E52"/>
    <w:rsid w:val="00EC71D4"/>
    <w:rsid w:val="00EC773C"/>
    <w:rsid w:val="00ED0054"/>
    <w:rsid w:val="00ED03B1"/>
    <w:rsid w:val="00ED0DF8"/>
    <w:rsid w:val="00ED1D21"/>
    <w:rsid w:val="00ED1D98"/>
    <w:rsid w:val="00ED2060"/>
    <w:rsid w:val="00ED248A"/>
    <w:rsid w:val="00ED24EC"/>
    <w:rsid w:val="00ED3218"/>
    <w:rsid w:val="00ED395D"/>
    <w:rsid w:val="00ED39D7"/>
    <w:rsid w:val="00ED3B49"/>
    <w:rsid w:val="00ED3C2C"/>
    <w:rsid w:val="00ED3DD2"/>
    <w:rsid w:val="00ED4D85"/>
    <w:rsid w:val="00ED4ECD"/>
    <w:rsid w:val="00ED5376"/>
    <w:rsid w:val="00ED570A"/>
    <w:rsid w:val="00ED581C"/>
    <w:rsid w:val="00ED5F64"/>
    <w:rsid w:val="00ED66DF"/>
    <w:rsid w:val="00ED692B"/>
    <w:rsid w:val="00ED6B81"/>
    <w:rsid w:val="00ED73D2"/>
    <w:rsid w:val="00ED776E"/>
    <w:rsid w:val="00ED77FF"/>
    <w:rsid w:val="00ED7851"/>
    <w:rsid w:val="00ED7A75"/>
    <w:rsid w:val="00ED7B2D"/>
    <w:rsid w:val="00ED7D9E"/>
    <w:rsid w:val="00ED7E35"/>
    <w:rsid w:val="00ED7E5F"/>
    <w:rsid w:val="00EE024F"/>
    <w:rsid w:val="00EE0E76"/>
    <w:rsid w:val="00EE1047"/>
    <w:rsid w:val="00EE16BB"/>
    <w:rsid w:val="00EE17B8"/>
    <w:rsid w:val="00EE1AB0"/>
    <w:rsid w:val="00EE1AB8"/>
    <w:rsid w:val="00EE1CDC"/>
    <w:rsid w:val="00EE21BC"/>
    <w:rsid w:val="00EE23C5"/>
    <w:rsid w:val="00EE26A8"/>
    <w:rsid w:val="00EE28B0"/>
    <w:rsid w:val="00EE3A66"/>
    <w:rsid w:val="00EE3C89"/>
    <w:rsid w:val="00EE3F37"/>
    <w:rsid w:val="00EE40F2"/>
    <w:rsid w:val="00EE4FA0"/>
    <w:rsid w:val="00EE4FEE"/>
    <w:rsid w:val="00EE5068"/>
    <w:rsid w:val="00EE59AA"/>
    <w:rsid w:val="00EE5EB9"/>
    <w:rsid w:val="00EE63D4"/>
    <w:rsid w:val="00EE6406"/>
    <w:rsid w:val="00EE6959"/>
    <w:rsid w:val="00EE6A2C"/>
    <w:rsid w:val="00EE7500"/>
    <w:rsid w:val="00EE7992"/>
    <w:rsid w:val="00EF08E8"/>
    <w:rsid w:val="00EF0E87"/>
    <w:rsid w:val="00EF1005"/>
    <w:rsid w:val="00EF207C"/>
    <w:rsid w:val="00EF22D0"/>
    <w:rsid w:val="00EF2AC8"/>
    <w:rsid w:val="00EF363C"/>
    <w:rsid w:val="00EF366B"/>
    <w:rsid w:val="00EF368E"/>
    <w:rsid w:val="00EF4415"/>
    <w:rsid w:val="00EF47EC"/>
    <w:rsid w:val="00EF4B28"/>
    <w:rsid w:val="00EF4C70"/>
    <w:rsid w:val="00EF509F"/>
    <w:rsid w:val="00EF51D0"/>
    <w:rsid w:val="00EF590F"/>
    <w:rsid w:val="00EF5CDE"/>
    <w:rsid w:val="00EF7201"/>
    <w:rsid w:val="00EF765D"/>
    <w:rsid w:val="00EF79E3"/>
    <w:rsid w:val="00EF7B26"/>
    <w:rsid w:val="00EF7BA4"/>
    <w:rsid w:val="00F00843"/>
    <w:rsid w:val="00F010C6"/>
    <w:rsid w:val="00F0122F"/>
    <w:rsid w:val="00F0238B"/>
    <w:rsid w:val="00F02578"/>
    <w:rsid w:val="00F02984"/>
    <w:rsid w:val="00F03078"/>
    <w:rsid w:val="00F037CB"/>
    <w:rsid w:val="00F03841"/>
    <w:rsid w:val="00F03F4C"/>
    <w:rsid w:val="00F04132"/>
    <w:rsid w:val="00F0499A"/>
    <w:rsid w:val="00F0523B"/>
    <w:rsid w:val="00F05302"/>
    <w:rsid w:val="00F05544"/>
    <w:rsid w:val="00F056A7"/>
    <w:rsid w:val="00F05D61"/>
    <w:rsid w:val="00F05E5D"/>
    <w:rsid w:val="00F05F4E"/>
    <w:rsid w:val="00F06015"/>
    <w:rsid w:val="00F0658B"/>
    <w:rsid w:val="00F070AB"/>
    <w:rsid w:val="00F070BC"/>
    <w:rsid w:val="00F07942"/>
    <w:rsid w:val="00F079EC"/>
    <w:rsid w:val="00F07BFB"/>
    <w:rsid w:val="00F07ED4"/>
    <w:rsid w:val="00F1060B"/>
    <w:rsid w:val="00F107D5"/>
    <w:rsid w:val="00F10D5D"/>
    <w:rsid w:val="00F111C1"/>
    <w:rsid w:val="00F11425"/>
    <w:rsid w:val="00F11549"/>
    <w:rsid w:val="00F1175B"/>
    <w:rsid w:val="00F11899"/>
    <w:rsid w:val="00F1193A"/>
    <w:rsid w:val="00F12D6B"/>
    <w:rsid w:val="00F12FF8"/>
    <w:rsid w:val="00F132AA"/>
    <w:rsid w:val="00F13522"/>
    <w:rsid w:val="00F13600"/>
    <w:rsid w:val="00F139E1"/>
    <w:rsid w:val="00F13AD1"/>
    <w:rsid w:val="00F13D33"/>
    <w:rsid w:val="00F1410E"/>
    <w:rsid w:val="00F1421A"/>
    <w:rsid w:val="00F14449"/>
    <w:rsid w:val="00F1464C"/>
    <w:rsid w:val="00F1464E"/>
    <w:rsid w:val="00F14A41"/>
    <w:rsid w:val="00F162B0"/>
    <w:rsid w:val="00F166F5"/>
    <w:rsid w:val="00F16B36"/>
    <w:rsid w:val="00F16BBF"/>
    <w:rsid w:val="00F16EBD"/>
    <w:rsid w:val="00F17506"/>
    <w:rsid w:val="00F175FB"/>
    <w:rsid w:val="00F17777"/>
    <w:rsid w:val="00F203C3"/>
    <w:rsid w:val="00F2147C"/>
    <w:rsid w:val="00F215F2"/>
    <w:rsid w:val="00F21ADF"/>
    <w:rsid w:val="00F21B1E"/>
    <w:rsid w:val="00F21B77"/>
    <w:rsid w:val="00F22103"/>
    <w:rsid w:val="00F224E9"/>
    <w:rsid w:val="00F228B7"/>
    <w:rsid w:val="00F2295B"/>
    <w:rsid w:val="00F22A48"/>
    <w:rsid w:val="00F22BF7"/>
    <w:rsid w:val="00F234C1"/>
    <w:rsid w:val="00F23F33"/>
    <w:rsid w:val="00F240D4"/>
    <w:rsid w:val="00F2436E"/>
    <w:rsid w:val="00F24426"/>
    <w:rsid w:val="00F24611"/>
    <w:rsid w:val="00F24C5F"/>
    <w:rsid w:val="00F25524"/>
    <w:rsid w:val="00F25882"/>
    <w:rsid w:val="00F25C98"/>
    <w:rsid w:val="00F25E0F"/>
    <w:rsid w:val="00F264AC"/>
    <w:rsid w:val="00F267C9"/>
    <w:rsid w:val="00F26C61"/>
    <w:rsid w:val="00F26E8E"/>
    <w:rsid w:val="00F26E9F"/>
    <w:rsid w:val="00F27C2A"/>
    <w:rsid w:val="00F27F98"/>
    <w:rsid w:val="00F30090"/>
    <w:rsid w:val="00F3107E"/>
    <w:rsid w:val="00F3137E"/>
    <w:rsid w:val="00F32505"/>
    <w:rsid w:val="00F32882"/>
    <w:rsid w:val="00F32A02"/>
    <w:rsid w:val="00F337F4"/>
    <w:rsid w:val="00F339B3"/>
    <w:rsid w:val="00F342E6"/>
    <w:rsid w:val="00F3445C"/>
    <w:rsid w:val="00F349D3"/>
    <w:rsid w:val="00F34D21"/>
    <w:rsid w:val="00F34D2D"/>
    <w:rsid w:val="00F34FB2"/>
    <w:rsid w:val="00F3513B"/>
    <w:rsid w:val="00F35525"/>
    <w:rsid w:val="00F3593F"/>
    <w:rsid w:val="00F35CC3"/>
    <w:rsid w:val="00F35FF6"/>
    <w:rsid w:val="00F36982"/>
    <w:rsid w:val="00F36B2F"/>
    <w:rsid w:val="00F37040"/>
    <w:rsid w:val="00F3707E"/>
    <w:rsid w:val="00F373F1"/>
    <w:rsid w:val="00F37467"/>
    <w:rsid w:val="00F37EEA"/>
    <w:rsid w:val="00F37FC6"/>
    <w:rsid w:val="00F40056"/>
    <w:rsid w:val="00F4024D"/>
    <w:rsid w:val="00F40481"/>
    <w:rsid w:val="00F405DB"/>
    <w:rsid w:val="00F40804"/>
    <w:rsid w:val="00F40929"/>
    <w:rsid w:val="00F4096C"/>
    <w:rsid w:val="00F40B70"/>
    <w:rsid w:val="00F40C85"/>
    <w:rsid w:val="00F410EC"/>
    <w:rsid w:val="00F414A6"/>
    <w:rsid w:val="00F41618"/>
    <w:rsid w:val="00F41B9D"/>
    <w:rsid w:val="00F41BEC"/>
    <w:rsid w:val="00F41D43"/>
    <w:rsid w:val="00F422D7"/>
    <w:rsid w:val="00F428A3"/>
    <w:rsid w:val="00F42903"/>
    <w:rsid w:val="00F42909"/>
    <w:rsid w:val="00F42B7E"/>
    <w:rsid w:val="00F433CF"/>
    <w:rsid w:val="00F43543"/>
    <w:rsid w:val="00F4415C"/>
    <w:rsid w:val="00F441FB"/>
    <w:rsid w:val="00F442EE"/>
    <w:rsid w:val="00F44598"/>
    <w:rsid w:val="00F445D1"/>
    <w:rsid w:val="00F448FB"/>
    <w:rsid w:val="00F44EEB"/>
    <w:rsid w:val="00F44FF4"/>
    <w:rsid w:val="00F457A1"/>
    <w:rsid w:val="00F45A22"/>
    <w:rsid w:val="00F45B45"/>
    <w:rsid w:val="00F45CD4"/>
    <w:rsid w:val="00F45DCC"/>
    <w:rsid w:val="00F45F6F"/>
    <w:rsid w:val="00F4681F"/>
    <w:rsid w:val="00F46DA7"/>
    <w:rsid w:val="00F46E3C"/>
    <w:rsid w:val="00F47202"/>
    <w:rsid w:val="00F476A2"/>
    <w:rsid w:val="00F47BF4"/>
    <w:rsid w:val="00F47E8F"/>
    <w:rsid w:val="00F50635"/>
    <w:rsid w:val="00F506D5"/>
    <w:rsid w:val="00F50789"/>
    <w:rsid w:val="00F509B1"/>
    <w:rsid w:val="00F50FBB"/>
    <w:rsid w:val="00F514F3"/>
    <w:rsid w:val="00F5176E"/>
    <w:rsid w:val="00F51B30"/>
    <w:rsid w:val="00F51F90"/>
    <w:rsid w:val="00F51F9B"/>
    <w:rsid w:val="00F51FE8"/>
    <w:rsid w:val="00F52824"/>
    <w:rsid w:val="00F52AD2"/>
    <w:rsid w:val="00F52DD0"/>
    <w:rsid w:val="00F5303D"/>
    <w:rsid w:val="00F5318B"/>
    <w:rsid w:val="00F533E3"/>
    <w:rsid w:val="00F5348A"/>
    <w:rsid w:val="00F53712"/>
    <w:rsid w:val="00F538A5"/>
    <w:rsid w:val="00F53931"/>
    <w:rsid w:val="00F53B17"/>
    <w:rsid w:val="00F53B6B"/>
    <w:rsid w:val="00F53E45"/>
    <w:rsid w:val="00F54085"/>
    <w:rsid w:val="00F540D8"/>
    <w:rsid w:val="00F54803"/>
    <w:rsid w:val="00F5532A"/>
    <w:rsid w:val="00F55574"/>
    <w:rsid w:val="00F55D07"/>
    <w:rsid w:val="00F56369"/>
    <w:rsid w:val="00F5639B"/>
    <w:rsid w:val="00F567E2"/>
    <w:rsid w:val="00F56B2A"/>
    <w:rsid w:val="00F57600"/>
    <w:rsid w:val="00F57923"/>
    <w:rsid w:val="00F5796F"/>
    <w:rsid w:val="00F57A6F"/>
    <w:rsid w:val="00F57E8D"/>
    <w:rsid w:val="00F60024"/>
    <w:rsid w:val="00F600D6"/>
    <w:rsid w:val="00F60147"/>
    <w:rsid w:val="00F614A6"/>
    <w:rsid w:val="00F616F6"/>
    <w:rsid w:val="00F617DC"/>
    <w:rsid w:val="00F61A63"/>
    <w:rsid w:val="00F61BFB"/>
    <w:rsid w:val="00F62032"/>
    <w:rsid w:val="00F621B8"/>
    <w:rsid w:val="00F625D5"/>
    <w:rsid w:val="00F62AF2"/>
    <w:rsid w:val="00F62B02"/>
    <w:rsid w:val="00F632E8"/>
    <w:rsid w:val="00F636B7"/>
    <w:rsid w:val="00F63799"/>
    <w:rsid w:val="00F63FB5"/>
    <w:rsid w:val="00F640EE"/>
    <w:rsid w:val="00F647EA"/>
    <w:rsid w:val="00F6498B"/>
    <w:rsid w:val="00F64C28"/>
    <w:rsid w:val="00F65250"/>
    <w:rsid w:val="00F653C6"/>
    <w:rsid w:val="00F655DD"/>
    <w:rsid w:val="00F6571E"/>
    <w:rsid w:val="00F657A4"/>
    <w:rsid w:val="00F6591B"/>
    <w:rsid w:val="00F65A7C"/>
    <w:rsid w:val="00F65AD7"/>
    <w:rsid w:val="00F65E23"/>
    <w:rsid w:val="00F65E96"/>
    <w:rsid w:val="00F66162"/>
    <w:rsid w:val="00F6635A"/>
    <w:rsid w:val="00F66F2A"/>
    <w:rsid w:val="00F66FDF"/>
    <w:rsid w:val="00F67C94"/>
    <w:rsid w:val="00F67CB4"/>
    <w:rsid w:val="00F70206"/>
    <w:rsid w:val="00F7051A"/>
    <w:rsid w:val="00F707BD"/>
    <w:rsid w:val="00F70922"/>
    <w:rsid w:val="00F709EE"/>
    <w:rsid w:val="00F70DE5"/>
    <w:rsid w:val="00F71669"/>
    <w:rsid w:val="00F718B8"/>
    <w:rsid w:val="00F7226D"/>
    <w:rsid w:val="00F72331"/>
    <w:rsid w:val="00F7234F"/>
    <w:rsid w:val="00F73A84"/>
    <w:rsid w:val="00F73E73"/>
    <w:rsid w:val="00F74110"/>
    <w:rsid w:val="00F742A3"/>
    <w:rsid w:val="00F74C18"/>
    <w:rsid w:val="00F74D99"/>
    <w:rsid w:val="00F74DD0"/>
    <w:rsid w:val="00F7598D"/>
    <w:rsid w:val="00F759E6"/>
    <w:rsid w:val="00F75C65"/>
    <w:rsid w:val="00F75F85"/>
    <w:rsid w:val="00F7672F"/>
    <w:rsid w:val="00F76A4A"/>
    <w:rsid w:val="00F77084"/>
    <w:rsid w:val="00F771CC"/>
    <w:rsid w:val="00F77345"/>
    <w:rsid w:val="00F77A77"/>
    <w:rsid w:val="00F77D0E"/>
    <w:rsid w:val="00F80393"/>
    <w:rsid w:val="00F804AD"/>
    <w:rsid w:val="00F805F0"/>
    <w:rsid w:val="00F809F4"/>
    <w:rsid w:val="00F8109E"/>
    <w:rsid w:val="00F816AF"/>
    <w:rsid w:val="00F81864"/>
    <w:rsid w:val="00F81FF6"/>
    <w:rsid w:val="00F8340A"/>
    <w:rsid w:val="00F83959"/>
    <w:rsid w:val="00F83AC9"/>
    <w:rsid w:val="00F84142"/>
    <w:rsid w:val="00F842D7"/>
    <w:rsid w:val="00F847F3"/>
    <w:rsid w:val="00F84A1E"/>
    <w:rsid w:val="00F84A35"/>
    <w:rsid w:val="00F84BDF"/>
    <w:rsid w:val="00F84EB9"/>
    <w:rsid w:val="00F85B9A"/>
    <w:rsid w:val="00F86956"/>
    <w:rsid w:val="00F86B6E"/>
    <w:rsid w:val="00F86BD9"/>
    <w:rsid w:val="00F86DA6"/>
    <w:rsid w:val="00F87619"/>
    <w:rsid w:val="00F87718"/>
    <w:rsid w:val="00F878B3"/>
    <w:rsid w:val="00F878E1"/>
    <w:rsid w:val="00F87919"/>
    <w:rsid w:val="00F87EF3"/>
    <w:rsid w:val="00F9039E"/>
    <w:rsid w:val="00F90543"/>
    <w:rsid w:val="00F906AE"/>
    <w:rsid w:val="00F906EE"/>
    <w:rsid w:val="00F9098B"/>
    <w:rsid w:val="00F90BE4"/>
    <w:rsid w:val="00F90D32"/>
    <w:rsid w:val="00F92990"/>
    <w:rsid w:val="00F92C5F"/>
    <w:rsid w:val="00F92C72"/>
    <w:rsid w:val="00F93435"/>
    <w:rsid w:val="00F93D24"/>
    <w:rsid w:val="00F94517"/>
    <w:rsid w:val="00F94B22"/>
    <w:rsid w:val="00F94F91"/>
    <w:rsid w:val="00F955C3"/>
    <w:rsid w:val="00F9578E"/>
    <w:rsid w:val="00F9662D"/>
    <w:rsid w:val="00F9695E"/>
    <w:rsid w:val="00F978E5"/>
    <w:rsid w:val="00F979BA"/>
    <w:rsid w:val="00F979C0"/>
    <w:rsid w:val="00F97B74"/>
    <w:rsid w:val="00F97D96"/>
    <w:rsid w:val="00F97EB7"/>
    <w:rsid w:val="00FA08AA"/>
    <w:rsid w:val="00FA0C70"/>
    <w:rsid w:val="00FA0E6C"/>
    <w:rsid w:val="00FA0EE0"/>
    <w:rsid w:val="00FA0FC6"/>
    <w:rsid w:val="00FA1614"/>
    <w:rsid w:val="00FA192E"/>
    <w:rsid w:val="00FA1BA7"/>
    <w:rsid w:val="00FA1C9E"/>
    <w:rsid w:val="00FA256F"/>
    <w:rsid w:val="00FA264C"/>
    <w:rsid w:val="00FA2778"/>
    <w:rsid w:val="00FA2BDD"/>
    <w:rsid w:val="00FA4232"/>
    <w:rsid w:val="00FA43C7"/>
    <w:rsid w:val="00FA45A0"/>
    <w:rsid w:val="00FA46C2"/>
    <w:rsid w:val="00FA47C6"/>
    <w:rsid w:val="00FA4C19"/>
    <w:rsid w:val="00FA529B"/>
    <w:rsid w:val="00FA52C0"/>
    <w:rsid w:val="00FA53C2"/>
    <w:rsid w:val="00FA58B9"/>
    <w:rsid w:val="00FA5C4C"/>
    <w:rsid w:val="00FA5E07"/>
    <w:rsid w:val="00FA5E8B"/>
    <w:rsid w:val="00FA6228"/>
    <w:rsid w:val="00FA6ACB"/>
    <w:rsid w:val="00FA6EF4"/>
    <w:rsid w:val="00FA6F9C"/>
    <w:rsid w:val="00FA7093"/>
    <w:rsid w:val="00FA70ED"/>
    <w:rsid w:val="00FA753B"/>
    <w:rsid w:val="00FB006A"/>
    <w:rsid w:val="00FB0124"/>
    <w:rsid w:val="00FB0500"/>
    <w:rsid w:val="00FB10F7"/>
    <w:rsid w:val="00FB16CF"/>
    <w:rsid w:val="00FB184D"/>
    <w:rsid w:val="00FB185E"/>
    <w:rsid w:val="00FB1B39"/>
    <w:rsid w:val="00FB1D73"/>
    <w:rsid w:val="00FB1D95"/>
    <w:rsid w:val="00FB1E8F"/>
    <w:rsid w:val="00FB1FDD"/>
    <w:rsid w:val="00FB216E"/>
    <w:rsid w:val="00FB2533"/>
    <w:rsid w:val="00FB28B3"/>
    <w:rsid w:val="00FB292D"/>
    <w:rsid w:val="00FB2B13"/>
    <w:rsid w:val="00FB343A"/>
    <w:rsid w:val="00FB36FB"/>
    <w:rsid w:val="00FB3AC8"/>
    <w:rsid w:val="00FB3D7E"/>
    <w:rsid w:val="00FB3FC0"/>
    <w:rsid w:val="00FB4287"/>
    <w:rsid w:val="00FB4599"/>
    <w:rsid w:val="00FB558E"/>
    <w:rsid w:val="00FB5596"/>
    <w:rsid w:val="00FB56CB"/>
    <w:rsid w:val="00FB659F"/>
    <w:rsid w:val="00FB67DD"/>
    <w:rsid w:val="00FB6BA3"/>
    <w:rsid w:val="00FB7E5E"/>
    <w:rsid w:val="00FC03A3"/>
    <w:rsid w:val="00FC08E9"/>
    <w:rsid w:val="00FC0C6A"/>
    <w:rsid w:val="00FC0E6B"/>
    <w:rsid w:val="00FC14F9"/>
    <w:rsid w:val="00FC1A31"/>
    <w:rsid w:val="00FC1ACA"/>
    <w:rsid w:val="00FC1D8A"/>
    <w:rsid w:val="00FC2078"/>
    <w:rsid w:val="00FC20D2"/>
    <w:rsid w:val="00FC22B5"/>
    <w:rsid w:val="00FC23E6"/>
    <w:rsid w:val="00FC32BD"/>
    <w:rsid w:val="00FC4B62"/>
    <w:rsid w:val="00FC55ED"/>
    <w:rsid w:val="00FC57C2"/>
    <w:rsid w:val="00FC58F8"/>
    <w:rsid w:val="00FC6133"/>
    <w:rsid w:val="00FC6454"/>
    <w:rsid w:val="00FC6603"/>
    <w:rsid w:val="00FC66D7"/>
    <w:rsid w:val="00FC6887"/>
    <w:rsid w:val="00FC69D8"/>
    <w:rsid w:val="00FC6ABF"/>
    <w:rsid w:val="00FC6B17"/>
    <w:rsid w:val="00FC6B47"/>
    <w:rsid w:val="00FC6B8A"/>
    <w:rsid w:val="00FC7039"/>
    <w:rsid w:val="00FC715D"/>
    <w:rsid w:val="00FC71D0"/>
    <w:rsid w:val="00FC71E6"/>
    <w:rsid w:val="00FC7306"/>
    <w:rsid w:val="00FC74DA"/>
    <w:rsid w:val="00FD0379"/>
    <w:rsid w:val="00FD147D"/>
    <w:rsid w:val="00FD1B5C"/>
    <w:rsid w:val="00FD1EBA"/>
    <w:rsid w:val="00FD2CA4"/>
    <w:rsid w:val="00FD2EDC"/>
    <w:rsid w:val="00FD3215"/>
    <w:rsid w:val="00FD379F"/>
    <w:rsid w:val="00FD3AE5"/>
    <w:rsid w:val="00FD3C84"/>
    <w:rsid w:val="00FD45E2"/>
    <w:rsid w:val="00FD4BB1"/>
    <w:rsid w:val="00FD4DE8"/>
    <w:rsid w:val="00FD4FC8"/>
    <w:rsid w:val="00FD51F6"/>
    <w:rsid w:val="00FD52E1"/>
    <w:rsid w:val="00FD5A34"/>
    <w:rsid w:val="00FD5DE8"/>
    <w:rsid w:val="00FD605D"/>
    <w:rsid w:val="00FD6706"/>
    <w:rsid w:val="00FD6B59"/>
    <w:rsid w:val="00FD7887"/>
    <w:rsid w:val="00FD7EF0"/>
    <w:rsid w:val="00FD7FB3"/>
    <w:rsid w:val="00FE0296"/>
    <w:rsid w:val="00FE037A"/>
    <w:rsid w:val="00FE0C26"/>
    <w:rsid w:val="00FE0F6A"/>
    <w:rsid w:val="00FE0FDA"/>
    <w:rsid w:val="00FE15F5"/>
    <w:rsid w:val="00FE17D4"/>
    <w:rsid w:val="00FE1DC3"/>
    <w:rsid w:val="00FE3328"/>
    <w:rsid w:val="00FE3873"/>
    <w:rsid w:val="00FE3A21"/>
    <w:rsid w:val="00FE3B6F"/>
    <w:rsid w:val="00FE450C"/>
    <w:rsid w:val="00FE4952"/>
    <w:rsid w:val="00FE4F4B"/>
    <w:rsid w:val="00FE5557"/>
    <w:rsid w:val="00FE5659"/>
    <w:rsid w:val="00FE626C"/>
    <w:rsid w:val="00FE6360"/>
    <w:rsid w:val="00FE6B39"/>
    <w:rsid w:val="00FE736C"/>
    <w:rsid w:val="00FE73C0"/>
    <w:rsid w:val="00FE7F23"/>
    <w:rsid w:val="00FE7F6C"/>
    <w:rsid w:val="00FF016B"/>
    <w:rsid w:val="00FF102E"/>
    <w:rsid w:val="00FF1ACF"/>
    <w:rsid w:val="00FF20AD"/>
    <w:rsid w:val="00FF2936"/>
    <w:rsid w:val="00FF3381"/>
    <w:rsid w:val="00FF3A79"/>
    <w:rsid w:val="00FF3FC4"/>
    <w:rsid w:val="00FF41CE"/>
    <w:rsid w:val="00FF43FA"/>
    <w:rsid w:val="00FF535B"/>
    <w:rsid w:val="00FF5BC8"/>
    <w:rsid w:val="00FF5C74"/>
    <w:rsid w:val="00FF5DFC"/>
    <w:rsid w:val="00FF6219"/>
    <w:rsid w:val="00FF6297"/>
    <w:rsid w:val="00FF6556"/>
    <w:rsid w:val="00FF67B5"/>
    <w:rsid w:val="00FF6A6F"/>
    <w:rsid w:val="00FF6D41"/>
    <w:rsid w:val="00FF7197"/>
    <w:rsid w:val="00FF7F9B"/>
    <w:rsid w:val="38DDBAF4"/>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4:docId w14:val="47152A8F"/>
  <w15:docId w15:val="{798E4E2F-881E-46B1-984A-FC2A3260C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16"/>
        <w:szCs w:val="16"/>
        <w:lang w:val="en-US" w:eastAsia="en-US" w:bidi="ar-SA"/>
      </w:rPr>
    </w:rPrDefault>
    <w:pPrDefault>
      <w:pPr>
        <w:spacing w:line="360" w:lineRule="auto"/>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B2"/>
    <w:pPr>
      <w:spacing w:line="240" w:lineRule="auto"/>
    </w:pPr>
    <w:rPr>
      <w:rFonts w:eastAsia="Times New Roman"/>
      <w:sz w:val="24"/>
      <w:szCs w:val="24"/>
    </w:rPr>
  </w:style>
  <w:style w:type="paragraph" w:styleId="Heading1">
    <w:name w:val="heading 1"/>
    <w:aliases w:val="1 ghost,g"/>
    <w:basedOn w:val="Normal"/>
    <w:next w:val="Normal"/>
    <w:link w:val="Heading1Char"/>
    <w:autoRedefine/>
    <w:uiPriority w:val="9"/>
    <w:qFormat/>
    <w:rsid w:val="00CE3168"/>
    <w:pPr>
      <w:keepNext/>
      <w:keepLines/>
      <w:numPr>
        <w:numId w:val="17"/>
      </w:numPr>
      <w:outlineLvl w:val="0"/>
    </w:pPr>
    <w:rPr>
      <w:rFonts w:ascii="Verdana" w:eastAsia="SimSun" w:hAnsi="Verdana"/>
      <w:b/>
      <w:bCs/>
      <w:sz w:val="22"/>
      <w:szCs w:val="22"/>
      <w:shd w:val="clear" w:color="auto" w:fill="FFFFFF"/>
      <w:lang w:val="en-MY" w:eastAsia="en-MY"/>
    </w:rPr>
  </w:style>
  <w:style w:type="paragraph" w:styleId="Heading2">
    <w:name w:val="heading 2"/>
    <w:basedOn w:val="Normal"/>
    <w:next w:val="Normal"/>
    <w:link w:val="Heading2Char"/>
    <w:uiPriority w:val="9"/>
    <w:unhideWhenUsed/>
    <w:qFormat/>
    <w:rsid w:val="007704E4"/>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7704E4"/>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32569C"/>
    <w:pPr>
      <w:keepNext/>
      <w:keepLines/>
      <w:spacing w:before="560" w:after="360" w:line="276" w:lineRule="auto"/>
      <w:outlineLvl w:val="3"/>
    </w:pPr>
    <w:rPr>
      <w:rFonts w:eastAsiaTheme="majorEastAsia" w:cstheme="majorBidi"/>
      <w:b/>
      <w:bCs/>
      <w:iCs/>
      <w:szCs w:val="22"/>
    </w:rPr>
  </w:style>
  <w:style w:type="paragraph" w:styleId="Heading5">
    <w:name w:val="heading 5"/>
    <w:basedOn w:val="Normal"/>
    <w:next w:val="Normal"/>
    <w:link w:val="Heading5Char"/>
    <w:uiPriority w:val="9"/>
    <w:unhideWhenUsed/>
    <w:qFormat/>
    <w:rsid w:val="009A4683"/>
    <w:pPr>
      <w:tabs>
        <w:tab w:val="num" w:pos="3600"/>
      </w:tabs>
      <w:spacing w:before="240" w:after="60"/>
      <w:ind w:left="3600" w:hanging="720"/>
      <w:outlineLvl w:val="4"/>
    </w:pPr>
    <w:rPr>
      <w:rFonts w:ascii="Calibri" w:hAnsi="Calibri"/>
      <w:b/>
      <w:bCs/>
      <w:i/>
      <w:iCs/>
      <w:sz w:val="26"/>
      <w:szCs w:val="26"/>
    </w:rPr>
  </w:style>
  <w:style w:type="paragraph" w:styleId="Heading6">
    <w:name w:val="heading 6"/>
    <w:basedOn w:val="Normal"/>
    <w:next w:val="Normal"/>
    <w:link w:val="Heading6Char"/>
    <w:uiPriority w:val="9"/>
    <w:qFormat/>
    <w:rsid w:val="009A4683"/>
    <w:pPr>
      <w:tabs>
        <w:tab w:val="num" w:pos="4320"/>
      </w:tabs>
      <w:spacing w:before="240" w:after="60"/>
      <w:ind w:left="4320" w:hanging="720"/>
      <w:outlineLvl w:val="5"/>
    </w:pPr>
    <w:rPr>
      <w:b/>
      <w:bCs/>
      <w:sz w:val="20"/>
      <w:szCs w:val="20"/>
    </w:rPr>
  </w:style>
  <w:style w:type="paragraph" w:styleId="Heading7">
    <w:name w:val="heading 7"/>
    <w:basedOn w:val="Normal"/>
    <w:next w:val="Normal"/>
    <w:link w:val="Heading7Char"/>
    <w:uiPriority w:val="9"/>
    <w:unhideWhenUsed/>
    <w:qFormat/>
    <w:rsid w:val="009A4683"/>
    <w:pPr>
      <w:tabs>
        <w:tab w:val="num" w:pos="5040"/>
      </w:tabs>
      <w:spacing w:before="240" w:after="60"/>
      <w:ind w:left="5040" w:hanging="720"/>
      <w:outlineLvl w:val="6"/>
    </w:pPr>
    <w:rPr>
      <w:rFonts w:ascii="Calibri" w:hAnsi="Calibri"/>
    </w:rPr>
  </w:style>
  <w:style w:type="paragraph" w:styleId="Heading8">
    <w:name w:val="heading 8"/>
    <w:basedOn w:val="Normal"/>
    <w:next w:val="Normal"/>
    <w:link w:val="Heading8Char"/>
    <w:uiPriority w:val="9"/>
    <w:unhideWhenUsed/>
    <w:qFormat/>
    <w:rsid w:val="009A4683"/>
    <w:pPr>
      <w:tabs>
        <w:tab w:val="num" w:pos="5760"/>
      </w:tabs>
      <w:spacing w:before="240" w:after="60"/>
      <w:ind w:left="5760" w:hanging="720"/>
      <w:outlineLvl w:val="7"/>
    </w:pPr>
    <w:rPr>
      <w:rFonts w:ascii="Calibri" w:hAnsi="Calibri"/>
      <w:i/>
      <w:iCs/>
    </w:rPr>
  </w:style>
  <w:style w:type="paragraph" w:styleId="Heading9">
    <w:name w:val="heading 9"/>
    <w:basedOn w:val="Normal"/>
    <w:next w:val="Normal"/>
    <w:link w:val="Heading9Char"/>
    <w:uiPriority w:val="9"/>
    <w:unhideWhenUsed/>
    <w:qFormat/>
    <w:rsid w:val="009A4683"/>
    <w:pPr>
      <w:tabs>
        <w:tab w:val="num" w:pos="6480"/>
      </w:tabs>
      <w:spacing w:before="240" w:after="60"/>
      <w:ind w:left="6480" w:hanging="720"/>
      <w:outlineLvl w:val="8"/>
    </w:pPr>
    <w:rPr>
      <w:rFonts w:ascii="Cambria" w:hAnsi="Cambr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 ghost Char,g Char"/>
    <w:basedOn w:val="DefaultParagraphFont"/>
    <w:link w:val="Heading1"/>
    <w:uiPriority w:val="9"/>
    <w:qFormat/>
    <w:rsid w:val="00CE3168"/>
    <w:rPr>
      <w:rFonts w:ascii="Verdana" w:eastAsia="SimSun" w:hAnsi="Verdana"/>
      <w:b/>
      <w:bCs/>
      <w:sz w:val="22"/>
      <w:szCs w:val="22"/>
      <w:lang w:val="en-MY" w:eastAsia="en-MY"/>
    </w:rPr>
  </w:style>
  <w:style w:type="character" w:customStyle="1" w:styleId="Heading2Char">
    <w:name w:val="Heading 2 Char"/>
    <w:basedOn w:val="DefaultParagraphFont"/>
    <w:link w:val="Heading2"/>
    <w:uiPriority w:val="9"/>
    <w:qFormat/>
    <w:rsid w:val="007704E4"/>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qFormat/>
    <w:rsid w:val="007704E4"/>
    <w:rPr>
      <w:rFonts w:asciiTheme="majorHAnsi" w:eastAsiaTheme="majorEastAsia" w:hAnsiTheme="majorHAnsi" w:cstheme="majorBidi"/>
      <w:b/>
      <w:bCs/>
      <w:color w:val="5B9BD5" w:themeColor="accent1"/>
      <w:sz w:val="24"/>
      <w:szCs w:val="24"/>
    </w:rPr>
  </w:style>
  <w:style w:type="character" w:customStyle="1" w:styleId="Heading4Char">
    <w:name w:val="Heading 4 Char"/>
    <w:basedOn w:val="DefaultParagraphFont"/>
    <w:link w:val="Heading4"/>
    <w:uiPriority w:val="9"/>
    <w:qFormat/>
    <w:rsid w:val="0032569C"/>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qFormat/>
    <w:rsid w:val="009A4683"/>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qFormat/>
    <w:rsid w:val="009A4683"/>
    <w:rPr>
      <w:rFonts w:ascii="Times New Roman" w:eastAsia="Times New Roman" w:hAnsi="Times New Roman" w:cs="Times New Roman"/>
      <w:b/>
      <w:bCs/>
      <w:sz w:val="20"/>
      <w:szCs w:val="20"/>
    </w:rPr>
  </w:style>
  <w:style w:type="character" w:customStyle="1" w:styleId="Heading7Char">
    <w:name w:val="Heading 7 Char"/>
    <w:basedOn w:val="DefaultParagraphFont"/>
    <w:link w:val="Heading7"/>
    <w:uiPriority w:val="9"/>
    <w:qFormat/>
    <w:rsid w:val="009A4683"/>
    <w:rPr>
      <w:rFonts w:ascii="Calibri" w:eastAsia="Times New Roman" w:hAnsi="Calibri" w:cs="Times New Roman"/>
      <w:sz w:val="24"/>
      <w:szCs w:val="24"/>
    </w:rPr>
  </w:style>
  <w:style w:type="character" w:customStyle="1" w:styleId="Heading8Char">
    <w:name w:val="Heading 8 Char"/>
    <w:basedOn w:val="DefaultParagraphFont"/>
    <w:link w:val="Heading8"/>
    <w:uiPriority w:val="9"/>
    <w:qFormat/>
    <w:rsid w:val="009A4683"/>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qFormat/>
    <w:rsid w:val="009A4683"/>
    <w:rPr>
      <w:rFonts w:ascii="Cambria" w:eastAsia="Times New Roman" w:hAnsi="Cambria" w:cs="Times New Roman"/>
      <w:sz w:val="20"/>
      <w:szCs w:val="20"/>
    </w:rPr>
  </w:style>
  <w:style w:type="paragraph" w:styleId="ListParagraph">
    <w:name w:val="List Paragraph"/>
    <w:basedOn w:val="Normal"/>
    <w:link w:val="ListParagraphChar"/>
    <w:uiPriority w:val="34"/>
    <w:qFormat/>
    <w:rsid w:val="007704E4"/>
    <w:pPr>
      <w:ind w:left="720"/>
      <w:contextualSpacing/>
    </w:pPr>
  </w:style>
  <w:style w:type="character" w:customStyle="1" w:styleId="ListParagraphChar">
    <w:name w:val="List Paragraph Char"/>
    <w:basedOn w:val="DefaultParagraphFont"/>
    <w:link w:val="ListParagraph"/>
    <w:uiPriority w:val="34"/>
    <w:rsid w:val="007704E4"/>
    <w:rPr>
      <w:rFonts w:ascii="Times New Roman" w:eastAsia="Times New Roman" w:hAnsi="Times New Roman" w:cs="Times New Roman"/>
      <w:sz w:val="24"/>
      <w:szCs w:val="24"/>
    </w:rPr>
  </w:style>
  <w:style w:type="paragraph" w:styleId="Header">
    <w:name w:val="header"/>
    <w:basedOn w:val="Normal"/>
    <w:link w:val="HeaderChar"/>
    <w:unhideWhenUsed/>
    <w:qFormat/>
    <w:rsid w:val="007704E4"/>
    <w:pPr>
      <w:tabs>
        <w:tab w:val="center" w:pos="4680"/>
        <w:tab w:val="right" w:pos="9360"/>
      </w:tabs>
    </w:pPr>
  </w:style>
  <w:style w:type="character" w:customStyle="1" w:styleId="HeaderChar">
    <w:name w:val="Header Char"/>
    <w:basedOn w:val="DefaultParagraphFont"/>
    <w:link w:val="Header"/>
    <w:qFormat/>
    <w:rsid w:val="007704E4"/>
    <w:rPr>
      <w:rFonts w:ascii="Times New Roman" w:eastAsia="Times New Roman" w:hAnsi="Times New Roman" w:cs="Times New Roman"/>
      <w:sz w:val="24"/>
      <w:szCs w:val="24"/>
    </w:rPr>
  </w:style>
  <w:style w:type="paragraph" w:styleId="Footer">
    <w:name w:val="footer"/>
    <w:basedOn w:val="Normal"/>
    <w:link w:val="FooterChar"/>
    <w:unhideWhenUsed/>
    <w:qFormat/>
    <w:rsid w:val="007704E4"/>
    <w:pPr>
      <w:tabs>
        <w:tab w:val="center" w:pos="4680"/>
        <w:tab w:val="right" w:pos="9360"/>
      </w:tabs>
    </w:pPr>
  </w:style>
  <w:style w:type="character" w:customStyle="1" w:styleId="FooterChar">
    <w:name w:val="Footer Char"/>
    <w:basedOn w:val="DefaultParagraphFont"/>
    <w:link w:val="Footer"/>
    <w:qFormat/>
    <w:rsid w:val="007704E4"/>
    <w:rPr>
      <w:rFonts w:ascii="Times New Roman" w:eastAsia="Times New Roman" w:hAnsi="Times New Roman" w:cs="Times New Roman"/>
      <w:sz w:val="24"/>
      <w:szCs w:val="24"/>
    </w:rPr>
  </w:style>
  <w:style w:type="table" w:styleId="TableGrid">
    <w:name w:val="Table Grid"/>
    <w:basedOn w:val="TableNormal"/>
    <w:uiPriority w:val="39"/>
    <w:qFormat/>
    <w:rsid w:val="007704E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qFormat/>
    <w:rsid w:val="00A2048E"/>
    <w:rPr>
      <w:rFonts w:ascii="Tahoma" w:hAnsi="Tahoma" w:cs="Tahoma"/>
      <w:sz w:val="16"/>
      <w:szCs w:val="16"/>
    </w:rPr>
  </w:style>
  <w:style w:type="character" w:customStyle="1" w:styleId="BalloonTextChar">
    <w:name w:val="Balloon Text Char"/>
    <w:basedOn w:val="DefaultParagraphFont"/>
    <w:link w:val="BalloonText"/>
    <w:qFormat/>
    <w:rsid w:val="00A2048E"/>
    <w:rPr>
      <w:rFonts w:ascii="Tahoma" w:eastAsia="Times New Roman" w:hAnsi="Tahoma" w:cs="Tahoma"/>
      <w:sz w:val="16"/>
      <w:szCs w:val="16"/>
    </w:rPr>
  </w:style>
  <w:style w:type="paragraph" w:styleId="NoSpacing">
    <w:name w:val="No Spacing"/>
    <w:link w:val="NoSpacingChar"/>
    <w:uiPriority w:val="1"/>
    <w:qFormat/>
    <w:rsid w:val="003708A6"/>
    <w:pPr>
      <w:spacing w:line="240" w:lineRule="auto"/>
    </w:pPr>
    <w:rPr>
      <w:rFonts w:ascii="Calibri" w:eastAsia="Calibri" w:hAnsi="Calibri"/>
    </w:rPr>
  </w:style>
  <w:style w:type="character" w:customStyle="1" w:styleId="NoSpacingChar">
    <w:name w:val="No Spacing Char"/>
    <w:link w:val="NoSpacing"/>
    <w:uiPriority w:val="1"/>
    <w:rsid w:val="005F7B4A"/>
    <w:rPr>
      <w:rFonts w:ascii="Calibri" w:eastAsia="Calibri" w:hAnsi="Calibri" w:cs="Times New Roman"/>
    </w:rPr>
  </w:style>
  <w:style w:type="paragraph" w:customStyle="1" w:styleId="Default">
    <w:name w:val="Default"/>
    <w:link w:val="DefaultChar"/>
    <w:qFormat/>
    <w:rsid w:val="003708A6"/>
    <w:pPr>
      <w:autoSpaceDE w:val="0"/>
      <w:autoSpaceDN w:val="0"/>
      <w:adjustRightInd w:val="0"/>
      <w:spacing w:line="240" w:lineRule="auto"/>
    </w:pPr>
    <w:rPr>
      <w:rFonts w:eastAsiaTheme="minorEastAsia"/>
      <w:sz w:val="24"/>
      <w:szCs w:val="24"/>
    </w:rPr>
  </w:style>
  <w:style w:type="table" w:customStyle="1" w:styleId="LightShading1">
    <w:name w:val="Light Shading1"/>
    <w:basedOn w:val="TableNormal"/>
    <w:uiPriority w:val="60"/>
    <w:rsid w:val="003708A6"/>
    <w:pPr>
      <w:spacing w:line="240" w:lineRule="auto"/>
    </w:pPr>
    <w:rPr>
      <w:rFonts w:eastAsiaTheme="minorEastAsia"/>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qFormat/>
    <w:rsid w:val="003708A6"/>
    <w:rPr>
      <w:color w:val="0563C1" w:themeColor="hyperlink"/>
      <w:u w:val="single"/>
    </w:rPr>
  </w:style>
  <w:style w:type="paragraph" w:styleId="NormalWeb">
    <w:name w:val="Normal (Web)"/>
    <w:basedOn w:val="Normal"/>
    <w:uiPriority w:val="99"/>
    <w:qFormat/>
    <w:rsid w:val="003708A6"/>
    <w:pPr>
      <w:spacing w:before="100" w:beforeAutospacing="1" w:after="100" w:afterAutospacing="1"/>
    </w:pPr>
  </w:style>
  <w:style w:type="paragraph" w:customStyle="1" w:styleId="EndNoteBibliography">
    <w:name w:val="EndNote Bibliography"/>
    <w:basedOn w:val="Normal"/>
    <w:link w:val="EndNoteBibliographyChar"/>
    <w:qFormat/>
    <w:rsid w:val="005F7B4A"/>
    <w:pPr>
      <w:spacing w:after="200"/>
    </w:pPr>
    <w:rPr>
      <w:rFonts w:ascii="Calibri" w:eastAsia="Calibri" w:hAnsi="Calibri" w:cs="Calibri"/>
      <w:noProof/>
      <w:sz w:val="20"/>
      <w:szCs w:val="20"/>
    </w:rPr>
  </w:style>
  <w:style w:type="character" w:customStyle="1" w:styleId="EndNoteBibliographyChar">
    <w:name w:val="EndNote Bibliography Char"/>
    <w:link w:val="EndNoteBibliography"/>
    <w:qFormat/>
    <w:rsid w:val="005F7B4A"/>
    <w:rPr>
      <w:rFonts w:ascii="Calibri" w:eastAsia="Calibri" w:hAnsi="Calibri" w:cs="Calibri"/>
      <w:noProof/>
      <w:sz w:val="20"/>
      <w:szCs w:val="20"/>
    </w:rPr>
  </w:style>
  <w:style w:type="paragraph" w:styleId="Title">
    <w:name w:val="Title"/>
    <w:basedOn w:val="Normal"/>
    <w:next w:val="Normal"/>
    <w:link w:val="TitleChar"/>
    <w:uiPriority w:val="10"/>
    <w:qFormat/>
    <w:rsid w:val="00D27AE5"/>
    <w:pPr>
      <w:contextualSpacing/>
    </w:pPr>
    <w:rPr>
      <w:rFonts w:asciiTheme="majorHAnsi" w:eastAsiaTheme="majorEastAsia" w:hAnsiTheme="majorHAnsi" w:cstheme="majorBidi"/>
      <w:spacing w:val="-10"/>
      <w:kern w:val="28"/>
      <w:sz w:val="56"/>
      <w:szCs w:val="56"/>
      <w:lang w:val="en-MY"/>
    </w:rPr>
  </w:style>
  <w:style w:type="character" w:customStyle="1" w:styleId="TitleChar">
    <w:name w:val="Title Char"/>
    <w:basedOn w:val="DefaultParagraphFont"/>
    <w:link w:val="Title"/>
    <w:uiPriority w:val="10"/>
    <w:qFormat/>
    <w:rsid w:val="00D27AE5"/>
    <w:rPr>
      <w:rFonts w:asciiTheme="majorHAnsi" w:eastAsiaTheme="majorEastAsia" w:hAnsiTheme="majorHAnsi" w:cstheme="majorBidi"/>
      <w:spacing w:val="-10"/>
      <w:kern w:val="28"/>
      <w:sz w:val="56"/>
      <w:szCs w:val="56"/>
      <w:lang w:val="en-MY"/>
    </w:rPr>
  </w:style>
  <w:style w:type="character" w:customStyle="1" w:styleId="CommentTextChar">
    <w:name w:val="Comment Text Char"/>
    <w:basedOn w:val="DefaultParagraphFont"/>
    <w:link w:val="CommentText"/>
    <w:qFormat/>
    <w:rsid w:val="00D27AE5"/>
    <w:rPr>
      <w:sz w:val="20"/>
      <w:szCs w:val="20"/>
    </w:rPr>
  </w:style>
  <w:style w:type="paragraph" w:styleId="CommentText">
    <w:name w:val="annotation text"/>
    <w:basedOn w:val="Normal"/>
    <w:link w:val="CommentTextChar"/>
    <w:unhideWhenUsed/>
    <w:qFormat/>
    <w:rsid w:val="00D27AE5"/>
    <w:pPr>
      <w:spacing w:after="160"/>
    </w:pPr>
    <w:rPr>
      <w:rFonts w:asciiTheme="minorHAnsi" w:eastAsiaTheme="minorHAnsi" w:hAnsiTheme="minorHAnsi" w:cstheme="minorBidi"/>
      <w:sz w:val="20"/>
      <w:szCs w:val="20"/>
    </w:rPr>
  </w:style>
  <w:style w:type="character" w:customStyle="1" w:styleId="CommentTextChar1">
    <w:name w:val="Comment Text Char1"/>
    <w:basedOn w:val="DefaultParagraphFont"/>
    <w:uiPriority w:val="99"/>
    <w:qFormat/>
    <w:rsid w:val="00D27AE5"/>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D27AE5"/>
    <w:pPr>
      <w:spacing w:before="240" w:line="259" w:lineRule="auto"/>
      <w:outlineLvl w:val="9"/>
    </w:pPr>
    <w:rPr>
      <w:rFonts w:asciiTheme="majorHAnsi" w:eastAsiaTheme="majorEastAsia" w:hAnsiTheme="majorHAnsi"/>
      <w:color w:val="2E74B5" w:themeColor="accent1" w:themeShade="BF"/>
      <w:sz w:val="32"/>
      <w:szCs w:val="32"/>
    </w:rPr>
  </w:style>
  <w:style w:type="paragraph" w:styleId="TOC1">
    <w:name w:val="toc 1"/>
    <w:basedOn w:val="Normal"/>
    <w:next w:val="Normal"/>
    <w:autoRedefine/>
    <w:uiPriority w:val="39"/>
    <w:unhideWhenUsed/>
    <w:qFormat/>
    <w:rsid w:val="00D27AE5"/>
    <w:pPr>
      <w:spacing w:after="100" w:line="259" w:lineRule="auto"/>
    </w:pPr>
    <w:rPr>
      <w:rFonts w:asciiTheme="minorHAnsi" w:eastAsiaTheme="minorHAnsi" w:hAnsiTheme="minorHAnsi" w:cstheme="minorBidi"/>
      <w:sz w:val="22"/>
      <w:szCs w:val="22"/>
      <w:lang w:val="en-MY"/>
    </w:rPr>
  </w:style>
  <w:style w:type="paragraph" w:styleId="TOC2">
    <w:name w:val="toc 2"/>
    <w:basedOn w:val="Normal"/>
    <w:next w:val="Normal"/>
    <w:autoRedefine/>
    <w:uiPriority w:val="39"/>
    <w:unhideWhenUsed/>
    <w:qFormat/>
    <w:rsid w:val="00D27AE5"/>
    <w:pPr>
      <w:spacing w:after="100" w:line="259" w:lineRule="auto"/>
      <w:ind w:left="220"/>
    </w:pPr>
    <w:rPr>
      <w:rFonts w:asciiTheme="minorHAnsi" w:eastAsiaTheme="minorHAnsi" w:hAnsiTheme="minorHAnsi" w:cstheme="minorBidi"/>
      <w:sz w:val="22"/>
      <w:szCs w:val="22"/>
      <w:lang w:val="en-MY"/>
    </w:rPr>
  </w:style>
  <w:style w:type="paragraph" w:styleId="TOC3">
    <w:name w:val="toc 3"/>
    <w:basedOn w:val="Normal"/>
    <w:next w:val="Normal"/>
    <w:autoRedefine/>
    <w:uiPriority w:val="39"/>
    <w:unhideWhenUsed/>
    <w:qFormat/>
    <w:rsid w:val="00D27AE5"/>
    <w:pPr>
      <w:spacing w:after="100" w:line="259" w:lineRule="auto"/>
      <w:ind w:left="440"/>
    </w:pPr>
    <w:rPr>
      <w:rFonts w:asciiTheme="minorHAnsi" w:eastAsiaTheme="minorHAnsi" w:hAnsiTheme="minorHAnsi" w:cstheme="minorBidi"/>
      <w:sz w:val="22"/>
      <w:szCs w:val="22"/>
      <w:lang w:val="en-MY"/>
    </w:rPr>
  </w:style>
  <w:style w:type="character" w:styleId="BookTitle">
    <w:name w:val="Book Title"/>
    <w:basedOn w:val="DefaultParagraphFont"/>
    <w:uiPriority w:val="33"/>
    <w:qFormat/>
    <w:rsid w:val="0032569C"/>
    <w:rPr>
      <w:b/>
      <w:bCs/>
      <w:smallCaps/>
      <w:spacing w:val="5"/>
    </w:rPr>
  </w:style>
  <w:style w:type="paragraph" w:customStyle="1" w:styleId="EndNoteBibliographyTitle">
    <w:name w:val="EndNote Bibliography Title"/>
    <w:basedOn w:val="Normal"/>
    <w:link w:val="EndNoteBibliographyTitleChar"/>
    <w:qFormat/>
    <w:rsid w:val="0032569C"/>
    <w:pPr>
      <w:spacing w:line="276" w:lineRule="auto"/>
      <w:jc w:val="center"/>
    </w:pPr>
    <w:rPr>
      <w:rFonts w:ascii="Calibri" w:eastAsiaTheme="minorHAnsi" w:hAnsi="Calibri" w:cs="Calibri"/>
      <w:noProof/>
      <w:sz w:val="20"/>
      <w:szCs w:val="22"/>
    </w:rPr>
  </w:style>
  <w:style w:type="character" w:customStyle="1" w:styleId="EndNoteBibliographyTitleChar">
    <w:name w:val="EndNote Bibliography Title Char"/>
    <w:basedOn w:val="DefaultParagraphFont"/>
    <w:link w:val="EndNoteBibliographyTitle"/>
    <w:qFormat/>
    <w:rsid w:val="0032569C"/>
    <w:rPr>
      <w:rFonts w:ascii="Calibri" w:hAnsi="Calibri" w:cs="Calibri"/>
      <w:noProof/>
      <w:sz w:val="20"/>
      <w:szCs w:val="22"/>
    </w:rPr>
  </w:style>
  <w:style w:type="character" w:customStyle="1" w:styleId="words">
    <w:name w:val="words"/>
    <w:rsid w:val="009A4683"/>
  </w:style>
  <w:style w:type="character" w:customStyle="1" w:styleId="wordiness">
    <w:name w:val="wordiness"/>
    <w:rsid w:val="009A4683"/>
  </w:style>
  <w:style w:type="character" w:customStyle="1" w:styleId="passivevoice">
    <w:name w:val="passivevoice"/>
    <w:rsid w:val="009A4683"/>
  </w:style>
  <w:style w:type="character" w:customStyle="1" w:styleId="wordchoice">
    <w:name w:val="wordchoice"/>
    <w:rsid w:val="009A4683"/>
  </w:style>
  <w:style w:type="character" w:styleId="Emphasis">
    <w:name w:val="Emphasis"/>
    <w:uiPriority w:val="20"/>
    <w:qFormat/>
    <w:rsid w:val="009A4683"/>
    <w:rPr>
      <w:i/>
      <w:iCs/>
    </w:rPr>
  </w:style>
  <w:style w:type="character" w:styleId="SubtleEmphasis">
    <w:name w:val="Subtle Emphasis"/>
    <w:basedOn w:val="DefaultParagraphFont"/>
    <w:uiPriority w:val="19"/>
    <w:qFormat/>
    <w:rsid w:val="00BC28C0"/>
    <w:rPr>
      <w:i/>
      <w:iCs/>
      <w:color w:val="808080"/>
    </w:rPr>
  </w:style>
  <w:style w:type="character" w:customStyle="1" w:styleId="HeaderChar1">
    <w:name w:val="Header Char1"/>
    <w:basedOn w:val="DefaultParagraphFont"/>
    <w:uiPriority w:val="99"/>
    <w:rsid w:val="00740B66"/>
  </w:style>
  <w:style w:type="character" w:customStyle="1" w:styleId="FooterChar1">
    <w:name w:val="Footer Char1"/>
    <w:basedOn w:val="DefaultParagraphFont"/>
    <w:uiPriority w:val="99"/>
    <w:rsid w:val="00740B66"/>
  </w:style>
  <w:style w:type="paragraph" w:styleId="Subtitle">
    <w:name w:val="Subtitle"/>
    <w:basedOn w:val="Normal"/>
    <w:next w:val="Normal"/>
    <w:link w:val="SubtitleChar"/>
    <w:uiPriority w:val="11"/>
    <w:qFormat/>
    <w:rsid w:val="00740B66"/>
    <w:pPr>
      <w:spacing w:after="200" w:line="276" w:lineRule="auto"/>
      <w:ind w:left="0" w:firstLine="0"/>
      <w:jc w:val="left"/>
    </w:pPr>
    <w:rPr>
      <w:rFonts w:asciiTheme="majorHAnsi" w:eastAsiaTheme="majorEastAsia" w:hAnsiTheme="majorHAnsi" w:cstheme="majorBidi"/>
      <w:i/>
      <w:iCs/>
      <w:color w:val="4F81BD"/>
      <w:spacing w:val="15"/>
    </w:rPr>
  </w:style>
  <w:style w:type="character" w:customStyle="1" w:styleId="SubtitleChar">
    <w:name w:val="Subtitle Char"/>
    <w:basedOn w:val="DefaultParagraphFont"/>
    <w:link w:val="Subtitle"/>
    <w:uiPriority w:val="11"/>
    <w:qFormat/>
    <w:rsid w:val="00740B66"/>
    <w:rPr>
      <w:rFonts w:asciiTheme="majorHAnsi" w:eastAsiaTheme="majorEastAsia" w:hAnsiTheme="majorHAnsi" w:cstheme="majorBidi"/>
      <w:i/>
      <w:iCs/>
      <w:color w:val="4F81BD"/>
      <w:spacing w:val="15"/>
      <w:sz w:val="24"/>
      <w:szCs w:val="24"/>
    </w:rPr>
  </w:style>
  <w:style w:type="character" w:customStyle="1" w:styleId="CommentSubjectChar">
    <w:name w:val="Comment Subject Char"/>
    <w:basedOn w:val="CommentTextChar"/>
    <w:link w:val="CommentSubject"/>
    <w:qFormat/>
    <w:rsid w:val="00740B66"/>
    <w:rPr>
      <w:b/>
      <w:bCs/>
      <w:sz w:val="20"/>
      <w:szCs w:val="20"/>
    </w:rPr>
  </w:style>
  <w:style w:type="paragraph" w:styleId="CommentSubject">
    <w:name w:val="annotation subject"/>
    <w:basedOn w:val="CommentText"/>
    <w:next w:val="CommentText"/>
    <w:link w:val="CommentSubjectChar"/>
    <w:qFormat/>
    <w:rsid w:val="00740B66"/>
    <w:pPr>
      <w:spacing w:after="200"/>
      <w:ind w:left="0" w:firstLine="0"/>
      <w:jc w:val="left"/>
    </w:pPr>
    <w:rPr>
      <w:b/>
      <w:bCs/>
    </w:rPr>
  </w:style>
  <w:style w:type="character" w:customStyle="1" w:styleId="CommentSubjectChar1">
    <w:name w:val="Comment Subject Char1"/>
    <w:basedOn w:val="CommentTextChar"/>
    <w:uiPriority w:val="99"/>
    <w:qFormat/>
    <w:rsid w:val="00740B66"/>
    <w:rPr>
      <w:rFonts w:ascii="Times New Roman" w:eastAsia="Times New Roman" w:hAnsi="Times New Roman" w:cs="Times New Roman"/>
      <w:b/>
      <w:bCs/>
      <w:sz w:val="20"/>
      <w:szCs w:val="20"/>
    </w:rPr>
  </w:style>
  <w:style w:type="character" w:styleId="CommentReference">
    <w:name w:val="annotation reference"/>
    <w:basedOn w:val="DefaultParagraphFont"/>
    <w:qFormat/>
    <w:rsid w:val="00740B66"/>
    <w:rPr>
      <w:sz w:val="16"/>
      <w:szCs w:val="16"/>
    </w:rPr>
  </w:style>
  <w:style w:type="table" w:customStyle="1" w:styleId="LightShading2">
    <w:name w:val="Light Shading2"/>
    <w:basedOn w:val="TableNormal"/>
    <w:uiPriority w:val="60"/>
    <w:rsid w:val="00740B66"/>
    <w:pPr>
      <w:spacing w:line="240" w:lineRule="auto"/>
      <w:ind w:left="0" w:firstLine="0"/>
      <w:jc w:val="left"/>
    </w:pPr>
    <w:tblPr>
      <w:tblStyleRowBandSize w:val="1"/>
      <w:tblStyleColBandSize w:val="1"/>
      <w:tblBorders>
        <w:top w:val="single" w:sz="8" w:space="0" w:color="000000"/>
        <w:bottom w:val="single" w:sz="8" w:space="0" w:color="000000"/>
      </w:tblBorders>
    </w:tblPr>
    <w:tblStylePr w:type="firstRow">
      <w:pPr>
        <w:spacing w:before="100" w:beforeAutospacing="1"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100" w:beforeAutospacing="1"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ibliography">
    <w:name w:val="Bibliography"/>
    <w:basedOn w:val="Normal"/>
    <w:next w:val="Normal"/>
    <w:uiPriority w:val="37"/>
    <w:rsid w:val="00740B66"/>
    <w:pPr>
      <w:spacing w:after="200" w:line="276" w:lineRule="auto"/>
      <w:ind w:left="0" w:firstLine="0"/>
      <w:jc w:val="left"/>
    </w:pPr>
    <w:rPr>
      <w:rFonts w:asciiTheme="minorHAnsi" w:eastAsiaTheme="minorHAnsi" w:hAnsiTheme="minorHAnsi" w:cstheme="minorBidi"/>
      <w:sz w:val="22"/>
      <w:szCs w:val="22"/>
    </w:rPr>
  </w:style>
  <w:style w:type="character" w:styleId="PlaceholderText">
    <w:name w:val="Placeholder Text"/>
    <w:basedOn w:val="DefaultParagraphFont"/>
    <w:uiPriority w:val="99"/>
    <w:qFormat/>
    <w:rsid w:val="00740B66"/>
    <w:rPr>
      <w:color w:val="808080"/>
    </w:rPr>
  </w:style>
  <w:style w:type="character" w:styleId="Strong">
    <w:name w:val="Strong"/>
    <w:basedOn w:val="DefaultParagraphFont"/>
    <w:uiPriority w:val="22"/>
    <w:qFormat/>
    <w:rsid w:val="005D0D85"/>
    <w:rPr>
      <w:b/>
      <w:bCs/>
    </w:rPr>
  </w:style>
  <w:style w:type="table" w:customStyle="1" w:styleId="LightShading3">
    <w:name w:val="Light Shading3"/>
    <w:basedOn w:val="TableNormal"/>
    <w:uiPriority w:val="60"/>
    <w:rsid w:val="00375FD3"/>
    <w:pPr>
      <w:spacing w:line="240" w:lineRule="auto"/>
      <w:ind w:left="0" w:firstLine="0"/>
      <w:jc w:val="left"/>
    </w:pPr>
    <w:rPr>
      <w:rFonts w:ascii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ite">
    <w:name w:val="HTML Cite"/>
    <w:basedOn w:val="DefaultParagraphFont"/>
    <w:uiPriority w:val="99"/>
    <w:semiHidden/>
    <w:unhideWhenUsed/>
    <w:rsid w:val="00375FD3"/>
    <w:rPr>
      <w:i/>
      <w:iCs/>
    </w:rPr>
  </w:style>
  <w:style w:type="paragraph" w:customStyle="1" w:styleId="gmail-msolistparagraph">
    <w:name w:val="gmail-msolistparagraph"/>
    <w:basedOn w:val="Normal"/>
    <w:rsid w:val="004567BB"/>
    <w:pPr>
      <w:spacing w:before="100" w:beforeAutospacing="1" w:after="100" w:afterAutospacing="1"/>
      <w:ind w:left="0" w:firstLine="0"/>
      <w:jc w:val="left"/>
    </w:pPr>
    <w:rPr>
      <w:color w:val="auto"/>
    </w:rPr>
  </w:style>
  <w:style w:type="character" w:customStyle="1" w:styleId="fontstyle01">
    <w:name w:val="fontstyle01"/>
    <w:basedOn w:val="DefaultParagraphFont"/>
    <w:rsid w:val="00C3404B"/>
    <w:rPr>
      <w:rFonts w:ascii="Times-Roman" w:hAnsi="Times-Roman" w:hint="default"/>
      <w:b w:val="0"/>
      <w:bCs w:val="0"/>
      <w:i w:val="0"/>
      <w:iCs w:val="0"/>
      <w:color w:val="0D0D0D"/>
      <w:sz w:val="18"/>
      <w:szCs w:val="18"/>
    </w:rPr>
  </w:style>
  <w:style w:type="character" w:customStyle="1" w:styleId="CharacterStyle4">
    <w:name w:val="Character Style 4"/>
    <w:uiPriority w:val="99"/>
    <w:rsid w:val="004A34E2"/>
    <w:rPr>
      <w:sz w:val="23"/>
    </w:rPr>
  </w:style>
  <w:style w:type="table" w:customStyle="1" w:styleId="GridTable1Light-Accent21">
    <w:name w:val="Grid Table 1 Light - Accent 21"/>
    <w:basedOn w:val="TableNormal"/>
    <w:uiPriority w:val="46"/>
    <w:rsid w:val="004A34E2"/>
    <w:pPr>
      <w:spacing w:line="240" w:lineRule="auto"/>
      <w:ind w:left="0" w:firstLine="0"/>
      <w:jc w:val="left"/>
    </w:pPr>
    <w:rPr>
      <w:rFonts w:asciiTheme="minorHAnsi" w:eastAsiaTheme="minorEastAsia" w:hAnsiTheme="minorHAnsi" w:cstheme="minorBidi"/>
      <w:color w:val="auto"/>
      <w:sz w:val="22"/>
      <w:szCs w:val="22"/>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customStyle="1" w:styleId="Affiliation">
    <w:name w:val="Affiliation"/>
    <w:basedOn w:val="Normal"/>
    <w:uiPriority w:val="99"/>
    <w:qFormat/>
    <w:rsid w:val="00761846"/>
    <w:pPr>
      <w:spacing w:before="240" w:line="360" w:lineRule="auto"/>
      <w:ind w:left="0" w:firstLine="0"/>
      <w:jc w:val="left"/>
    </w:pPr>
    <w:rPr>
      <w:i/>
      <w:color w:val="auto"/>
      <w:lang w:val="en-GB" w:eastAsia="en-GB"/>
    </w:rPr>
  </w:style>
  <w:style w:type="paragraph" w:customStyle="1" w:styleId="story-body-text">
    <w:name w:val="story-body-text"/>
    <w:basedOn w:val="Normal"/>
    <w:rsid w:val="00731EFB"/>
    <w:pPr>
      <w:spacing w:before="100" w:beforeAutospacing="1" w:after="100" w:afterAutospacing="1"/>
      <w:ind w:left="0" w:firstLine="0"/>
      <w:jc w:val="left"/>
    </w:pPr>
    <w:rPr>
      <w:color w:val="auto"/>
    </w:rPr>
  </w:style>
  <w:style w:type="character" w:customStyle="1" w:styleId="apple-converted-space">
    <w:name w:val="apple-converted-space"/>
    <w:basedOn w:val="DefaultParagraphFont"/>
    <w:rsid w:val="00731EFB"/>
  </w:style>
  <w:style w:type="character" w:customStyle="1" w:styleId="FootnoteTextChar">
    <w:name w:val="Footnote Text Char"/>
    <w:aliases w:val="Footnote Text Char Char Char Char Char,Footnote Text Char Char Char Char Cha Char"/>
    <w:basedOn w:val="DefaultParagraphFont"/>
    <w:link w:val="FootnoteText"/>
    <w:uiPriority w:val="99"/>
    <w:qFormat/>
    <w:rsid w:val="00731EFB"/>
    <w:rPr>
      <w:rFonts w:eastAsia="Calibri"/>
      <w:color w:val="auto"/>
      <w:sz w:val="20"/>
      <w:szCs w:val="20"/>
      <w:lang w:val="en-MY"/>
    </w:rPr>
  </w:style>
  <w:style w:type="paragraph" w:styleId="FootnoteText">
    <w:name w:val="footnote text"/>
    <w:aliases w:val="Footnote Text Char Char Char Char,Footnote Text Char Char Char Char Cha"/>
    <w:basedOn w:val="Normal"/>
    <w:link w:val="FootnoteTextChar"/>
    <w:uiPriority w:val="99"/>
    <w:unhideWhenUsed/>
    <w:qFormat/>
    <w:rsid w:val="00731EFB"/>
    <w:pPr>
      <w:ind w:left="0" w:firstLine="0"/>
    </w:pPr>
    <w:rPr>
      <w:rFonts w:eastAsia="Calibri"/>
      <w:color w:val="auto"/>
      <w:sz w:val="20"/>
      <w:szCs w:val="20"/>
      <w:lang w:val="en-MY"/>
    </w:rPr>
  </w:style>
  <w:style w:type="paragraph" w:styleId="Caption">
    <w:name w:val="caption"/>
    <w:basedOn w:val="Normal"/>
    <w:next w:val="Normal"/>
    <w:link w:val="CaptionChar"/>
    <w:uiPriority w:val="35"/>
    <w:qFormat/>
    <w:rsid w:val="00731EFB"/>
    <w:pPr>
      <w:spacing w:before="240" w:after="240"/>
      <w:ind w:left="0" w:firstLine="0"/>
      <w:jc w:val="left"/>
    </w:pPr>
    <w:rPr>
      <w:rFonts w:ascii="Calibri" w:eastAsia="MS Mincho" w:hAnsi="Calibri"/>
      <w:b/>
      <w:bCs/>
      <w:color w:val="auto"/>
      <w:szCs w:val="20"/>
      <w:lang w:val="en-AU" w:eastAsia="ja-JP"/>
    </w:rPr>
  </w:style>
  <w:style w:type="character" w:customStyle="1" w:styleId="CaptionChar">
    <w:name w:val="Caption Char"/>
    <w:link w:val="Caption"/>
    <w:uiPriority w:val="35"/>
    <w:locked/>
    <w:rsid w:val="00731EFB"/>
    <w:rPr>
      <w:rFonts w:ascii="Calibri" w:eastAsia="MS Mincho" w:hAnsi="Calibri"/>
      <w:b/>
      <w:bCs/>
      <w:color w:val="auto"/>
      <w:sz w:val="24"/>
      <w:szCs w:val="20"/>
      <w:lang w:val="en-AU" w:eastAsia="ja-JP"/>
    </w:rPr>
  </w:style>
  <w:style w:type="paragraph" w:customStyle="1" w:styleId="Abstract">
    <w:name w:val="Abstract"/>
    <w:basedOn w:val="Normal"/>
    <w:next w:val="Keywords"/>
    <w:qFormat/>
    <w:rsid w:val="00731EFB"/>
    <w:pPr>
      <w:spacing w:before="360" w:after="300" w:line="360" w:lineRule="auto"/>
      <w:ind w:left="720" w:right="567" w:firstLine="0"/>
      <w:jc w:val="left"/>
    </w:pPr>
    <w:rPr>
      <w:color w:val="auto"/>
      <w:sz w:val="22"/>
      <w:lang w:val="en-GB" w:eastAsia="en-GB"/>
    </w:rPr>
  </w:style>
  <w:style w:type="paragraph" w:customStyle="1" w:styleId="Keywords">
    <w:name w:val="Keywords"/>
    <w:basedOn w:val="Normal"/>
    <w:next w:val="Normal"/>
    <w:qFormat/>
    <w:rsid w:val="00731EFB"/>
    <w:pPr>
      <w:spacing w:before="240" w:after="240" w:line="360" w:lineRule="auto"/>
      <w:ind w:left="720" w:right="567" w:firstLine="0"/>
      <w:jc w:val="left"/>
    </w:pPr>
    <w:rPr>
      <w:color w:val="auto"/>
      <w:sz w:val="22"/>
      <w:lang w:val="en-GB" w:eastAsia="en-GB"/>
    </w:rPr>
  </w:style>
  <w:style w:type="paragraph" w:customStyle="1" w:styleId="Paragraph">
    <w:name w:val="Paragraph"/>
    <w:basedOn w:val="Normal"/>
    <w:next w:val="Newparagraph"/>
    <w:qFormat/>
    <w:rsid w:val="00731EFB"/>
    <w:pPr>
      <w:widowControl w:val="0"/>
      <w:spacing w:before="240" w:line="480" w:lineRule="auto"/>
      <w:ind w:left="0" w:firstLine="0"/>
      <w:jc w:val="left"/>
    </w:pPr>
    <w:rPr>
      <w:color w:val="auto"/>
      <w:lang w:val="en-GB" w:eastAsia="en-GB"/>
    </w:rPr>
  </w:style>
  <w:style w:type="paragraph" w:customStyle="1" w:styleId="Newparagraph">
    <w:name w:val="New paragraph"/>
    <w:basedOn w:val="Normal"/>
    <w:qFormat/>
    <w:rsid w:val="00731EFB"/>
    <w:pPr>
      <w:spacing w:line="480" w:lineRule="auto"/>
      <w:ind w:left="0" w:firstLine="720"/>
      <w:jc w:val="left"/>
    </w:pPr>
    <w:rPr>
      <w:color w:val="auto"/>
      <w:lang w:val="en-GB" w:eastAsia="en-GB"/>
    </w:rPr>
  </w:style>
  <w:style w:type="paragraph" w:customStyle="1" w:styleId="Standard">
    <w:name w:val="Standard"/>
    <w:uiPriority w:val="99"/>
    <w:qFormat/>
    <w:rsid w:val="00731EFB"/>
    <w:pPr>
      <w:widowControl w:val="0"/>
      <w:suppressAutoHyphens/>
      <w:autoSpaceDN w:val="0"/>
      <w:spacing w:line="240" w:lineRule="auto"/>
      <w:ind w:left="0" w:firstLine="0"/>
      <w:jc w:val="left"/>
    </w:pPr>
    <w:rPr>
      <w:rFonts w:eastAsia="Arial Unicode MS" w:cs="Arial Unicode MS"/>
      <w:color w:val="auto"/>
      <w:kern w:val="3"/>
      <w:sz w:val="24"/>
      <w:szCs w:val="24"/>
      <w:lang w:val="en-GB" w:eastAsia="zh-CN" w:bidi="hi-IN"/>
    </w:rPr>
  </w:style>
  <w:style w:type="table" w:customStyle="1" w:styleId="ListTable6Colorful1">
    <w:name w:val="List Table 6 Colorful1"/>
    <w:basedOn w:val="TableNormal"/>
    <w:uiPriority w:val="51"/>
    <w:rsid w:val="00731EFB"/>
    <w:pPr>
      <w:spacing w:line="240" w:lineRule="auto"/>
      <w:ind w:left="0" w:firstLine="0"/>
      <w:jc w:val="left"/>
    </w:pPr>
    <w:rPr>
      <w:rFonts w:ascii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ighlight">
    <w:name w:val="highlight"/>
    <w:basedOn w:val="DefaultParagraphFont"/>
    <w:rsid w:val="009B1128"/>
  </w:style>
  <w:style w:type="character" w:customStyle="1" w:styleId="span-break">
    <w:name w:val="span-break"/>
    <w:basedOn w:val="DefaultParagraphFont"/>
    <w:rsid w:val="009B1128"/>
  </w:style>
  <w:style w:type="character" w:customStyle="1" w:styleId="year">
    <w:name w:val="year"/>
    <w:basedOn w:val="DefaultParagraphFont"/>
    <w:rsid w:val="009B1128"/>
  </w:style>
  <w:style w:type="character" w:customStyle="1" w:styleId="go">
    <w:name w:val="go"/>
    <w:basedOn w:val="DefaultParagraphFont"/>
    <w:rsid w:val="00650D6A"/>
  </w:style>
  <w:style w:type="table" w:customStyle="1" w:styleId="LightList1">
    <w:name w:val="Light List1"/>
    <w:basedOn w:val="TableNormal"/>
    <w:uiPriority w:val="61"/>
    <w:rsid w:val="00581EED"/>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GridLight1">
    <w:name w:val="Table Grid Light1"/>
    <w:basedOn w:val="TableNormal"/>
    <w:uiPriority w:val="40"/>
    <w:rsid w:val="00581EED"/>
    <w:pPr>
      <w:spacing w:line="240" w:lineRule="auto"/>
      <w:ind w:left="0" w:firstLine="0"/>
      <w:jc w:val="left"/>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OYASUB">
    <w:name w:val="OYA SUB"/>
    <w:basedOn w:val="Heading2"/>
    <w:link w:val="OYASUBChar"/>
    <w:autoRedefine/>
    <w:qFormat/>
    <w:rsid w:val="00921B4E"/>
    <w:pPr>
      <w:keepNext w:val="0"/>
      <w:keepLines w:val="0"/>
      <w:spacing w:before="0" w:line="360" w:lineRule="auto"/>
      <w:ind w:left="0" w:firstLine="0"/>
    </w:pPr>
    <w:rPr>
      <w:rFonts w:ascii="Times New Roman" w:eastAsia="Times New Roman" w:hAnsi="Times New Roman" w:cs="Times New Roman"/>
      <w:color w:val="000000" w:themeColor="text1"/>
      <w:sz w:val="24"/>
      <w:szCs w:val="22"/>
    </w:rPr>
  </w:style>
  <w:style w:type="character" w:customStyle="1" w:styleId="OYASUBChar">
    <w:name w:val="OYA SUB Char"/>
    <w:basedOn w:val="DefaultParagraphFont"/>
    <w:link w:val="OYASUB"/>
    <w:rsid w:val="00921B4E"/>
    <w:rPr>
      <w:rFonts w:eastAsia="Times New Roman"/>
      <w:b/>
      <w:bCs/>
      <w:color w:val="000000" w:themeColor="text1"/>
      <w:sz w:val="24"/>
      <w:szCs w:val="22"/>
    </w:rPr>
  </w:style>
  <w:style w:type="paragraph" w:customStyle="1" w:styleId="Chap2heading">
    <w:name w:val="Chap2 heading"/>
    <w:basedOn w:val="Heading2"/>
    <w:link w:val="Chap2headingChar"/>
    <w:qFormat/>
    <w:rsid w:val="00614A7F"/>
    <w:pPr>
      <w:spacing w:before="40" w:line="480" w:lineRule="auto"/>
      <w:ind w:left="0" w:firstLine="0"/>
      <w:jc w:val="left"/>
    </w:pPr>
    <w:rPr>
      <w:rFonts w:ascii="Times New Roman" w:hAnsi="Times New Roman"/>
      <w:bCs w:val="0"/>
      <w:color w:val="000000" w:themeColor="text1"/>
      <w:sz w:val="24"/>
    </w:rPr>
  </w:style>
  <w:style w:type="character" w:customStyle="1" w:styleId="Chap2headingChar">
    <w:name w:val="Chap2 heading Char"/>
    <w:basedOn w:val="DefaultParagraphFont"/>
    <w:link w:val="Chap2heading"/>
    <w:rsid w:val="00614A7F"/>
    <w:rPr>
      <w:rFonts w:eastAsiaTheme="majorEastAsia" w:cstheme="majorBidi"/>
      <w:b/>
      <w:color w:val="000000" w:themeColor="text1"/>
      <w:sz w:val="24"/>
      <w:szCs w:val="26"/>
    </w:rPr>
  </w:style>
  <w:style w:type="character" w:customStyle="1" w:styleId="A7">
    <w:name w:val="A7"/>
    <w:uiPriority w:val="99"/>
    <w:rsid w:val="003733C6"/>
    <w:rPr>
      <w:color w:val="000000"/>
      <w:sz w:val="22"/>
      <w:szCs w:val="22"/>
    </w:rPr>
  </w:style>
  <w:style w:type="table" w:customStyle="1" w:styleId="PlainTable22">
    <w:name w:val="Plain Table 22"/>
    <w:basedOn w:val="TableNormal"/>
    <w:next w:val="PlainTable21"/>
    <w:uiPriority w:val="42"/>
    <w:rsid w:val="003733C6"/>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
    <w:name w:val="Plain Table 21"/>
    <w:basedOn w:val="TableNormal"/>
    <w:uiPriority w:val="42"/>
    <w:rsid w:val="003733C6"/>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sid w:val="0090567F"/>
    <w:rPr>
      <w:color w:val="605E5C"/>
      <w:shd w:val="clear" w:color="auto" w:fill="E1DFDD"/>
    </w:rPr>
  </w:style>
  <w:style w:type="character" w:customStyle="1" w:styleId="locality">
    <w:name w:val="locality"/>
    <w:basedOn w:val="DefaultParagraphFont"/>
    <w:rsid w:val="00D5023E"/>
  </w:style>
  <w:style w:type="character" w:customStyle="1" w:styleId="date-display-single">
    <w:name w:val="date-display-single"/>
    <w:basedOn w:val="DefaultParagraphFont"/>
    <w:rsid w:val="00D5023E"/>
  </w:style>
  <w:style w:type="character" w:styleId="FootnoteReference">
    <w:name w:val="footnote reference"/>
    <w:basedOn w:val="DefaultParagraphFont"/>
    <w:uiPriority w:val="99"/>
    <w:unhideWhenUsed/>
    <w:qFormat/>
    <w:rsid w:val="002F2D02"/>
    <w:rPr>
      <w:vertAlign w:val="superscript"/>
    </w:rPr>
  </w:style>
  <w:style w:type="paragraph" w:customStyle="1" w:styleId="Pa0">
    <w:name w:val="Pa0"/>
    <w:basedOn w:val="Normal"/>
    <w:next w:val="Normal"/>
    <w:uiPriority w:val="99"/>
    <w:rsid w:val="002F2D02"/>
    <w:pPr>
      <w:autoSpaceDE w:val="0"/>
      <w:autoSpaceDN w:val="0"/>
      <w:adjustRightInd w:val="0"/>
      <w:spacing w:line="201" w:lineRule="atLeast"/>
      <w:ind w:left="0" w:firstLine="0"/>
      <w:jc w:val="left"/>
    </w:pPr>
    <w:rPr>
      <w:rFonts w:ascii="Adobe Garamond Pro" w:eastAsiaTheme="minorHAnsi" w:hAnsi="Adobe Garamond Pro" w:cstheme="minorBidi"/>
      <w:color w:val="auto"/>
      <w:lang w:val="nl-NL"/>
    </w:rPr>
  </w:style>
  <w:style w:type="character" w:customStyle="1" w:styleId="A1">
    <w:name w:val="A1"/>
    <w:uiPriority w:val="99"/>
    <w:rsid w:val="002F2D02"/>
    <w:rPr>
      <w:rFonts w:cs="Adobe Garamond Pro"/>
      <w:color w:val="000000"/>
      <w:sz w:val="22"/>
      <w:szCs w:val="22"/>
    </w:rPr>
  </w:style>
  <w:style w:type="character" w:customStyle="1" w:styleId="A2">
    <w:name w:val="A2"/>
    <w:uiPriority w:val="99"/>
    <w:rsid w:val="002F2D02"/>
    <w:rPr>
      <w:rFonts w:cs="Adobe Garamond Pro"/>
      <w:color w:val="000000"/>
      <w:sz w:val="16"/>
      <w:szCs w:val="16"/>
    </w:rPr>
  </w:style>
  <w:style w:type="character" w:customStyle="1" w:styleId="A3">
    <w:name w:val="A3"/>
    <w:uiPriority w:val="99"/>
    <w:rsid w:val="002F2D02"/>
    <w:rPr>
      <w:rFonts w:cs="Adobe Garamond Pro"/>
      <w:color w:val="000000"/>
      <w:sz w:val="12"/>
      <w:szCs w:val="12"/>
    </w:rPr>
  </w:style>
  <w:style w:type="paragraph" w:styleId="BodyTextIndent">
    <w:name w:val="Body Text Indent"/>
    <w:basedOn w:val="Normal"/>
    <w:link w:val="BodyTextIndentChar"/>
    <w:qFormat/>
    <w:rsid w:val="002F2D02"/>
    <w:pPr>
      <w:spacing w:before="129" w:line="480" w:lineRule="auto"/>
      <w:ind w:left="0" w:firstLine="720"/>
      <w:jc w:val="left"/>
    </w:pPr>
    <w:rPr>
      <w:color w:val="auto"/>
      <w:lang w:eastAsia="en-GB" w:bidi="he-IL"/>
    </w:rPr>
  </w:style>
  <w:style w:type="character" w:customStyle="1" w:styleId="BodyTextIndentChar">
    <w:name w:val="Body Text Indent Char"/>
    <w:basedOn w:val="DefaultParagraphFont"/>
    <w:link w:val="BodyTextIndent"/>
    <w:qFormat/>
    <w:rsid w:val="002F2D02"/>
    <w:rPr>
      <w:rFonts w:eastAsia="Times New Roman"/>
      <w:color w:val="auto"/>
      <w:sz w:val="24"/>
      <w:szCs w:val="24"/>
      <w:lang w:eastAsia="en-GB" w:bidi="he-IL"/>
    </w:rPr>
  </w:style>
  <w:style w:type="character" w:customStyle="1" w:styleId="tgc">
    <w:name w:val="_tgc"/>
    <w:basedOn w:val="DefaultParagraphFont"/>
    <w:rsid w:val="002F2D02"/>
  </w:style>
  <w:style w:type="paragraph" w:styleId="BodyText">
    <w:name w:val="Body Text"/>
    <w:basedOn w:val="Normal"/>
    <w:link w:val="BodyTextChar"/>
    <w:uiPriority w:val="1"/>
    <w:unhideWhenUsed/>
    <w:qFormat/>
    <w:rsid w:val="00827981"/>
    <w:pPr>
      <w:spacing w:after="120"/>
    </w:pPr>
  </w:style>
  <w:style w:type="character" w:customStyle="1" w:styleId="BodyTextChar">
    <w:name w:val="Body Text Char"/>
    <w:basedOn w:val="DefaultParagraphFont"/>
    <w:link w:val="BodyText"/>
    <w:uiPriority w:val="1"/>
    <w:qFormat/>
    <w:rsid w:val="00827981"/>
    <w:rPr>
      <w:rFonts w:eastAsia="Times New Roman"/>
      <w:sz w:val="24"/>
      <w:szCs w:val="24"/>
    </w:rPr>
  </w:style>
  <w:style w:type="character" w:customStyle="1" w:styleId="o2address">
    <w:name w:val="o2address"/>
    <w:uiPriority w:val="99"/>
    <w:rsid w:val="00827981"/>
    <w:rPr>
      <w:rFonts w:cs="Times New Roman"/>
    </w:rPr>
  </w:style>
  <w:style w:type="paragraph" w:customStyle="1" w:styleId="Table-title">
    <w:name w:val="Table - title"/>
    <w:basedOn w:val="Normal"/>
    <w:link w:val="Table-titleZnak"/>
    <w:autoRedefine/>
    <w:qFormat/>
    <w:rsid w:val="00827981"/>
    <w:pPr>
      <w:spacing w:before="240"/>
      <w:ind w:left="0" w:firstLine="0"/>
      <w:jc w:val="left"/>
    </w:pPr>
    <w:rPr>
      <w:rFonts w:ascii="Calibri" w:eastAsia="Calibri" w:hAnsi="Calibri"/>
      <w:b/>
      <w:color w:val="auto"/>
      <w:sz w:val="18"/>
      <w:szCs w:val="18"/>
      <w:lang w:val="en-GB"/>
    </w:rPr>
  </w:style>
  <w:style w:type="character" w:customStyle="1" w:styleId="Table-titleZnak">
    <w:name w:val="Table - title Znak"/>
    <w:link w:val="Table-title"/>
    <w:rsid w:val="00827981"/>
    <w:rPr>
      <w:rFonts w:ascii="Calibri" w:eastAsia="Calibri" w:hAnsi="Calibri"/>
      <w:b/>
      <w:color w:val="auto"/>
      <w:sz w:val="18"/>
      <w:szCs w:val="18"/>
      <w:lang w:val="en-GB"/>
    </w:rPr>
  </w:style>
  <w:style w:type="paragraph" w:customStyle="1" w:styleId="Figure-title">
    <w:name w:val="Figure - title"/>
    <w:basedOn w:val="Normal"/>
    <w:link w:val="Figure-titleZnak"/>
    <w:qFormat/>
    <w:rsid w:val="00827981"/>
    <w:pPr>
      <w:spacing w:before="120"/>
      <w:ind w:left="0" w:firstLine="0"/>
      <w:jc w:val="center"/>
    </w:pPr>
    <w:rPr>
      <w:rFonts w:ascii="Calibri" w:eastAsia="Calibri" w:hAnsi="Calibri"/>
      <w:b/>
      <w:color w:val="auto"/>
      <w:sz w:val="18"/>
      <w:szCs w:val="18"/>
      <w:lang w:val="en-GB"/>
    </w:rPr>
  </w:style>
  <w:style w:type="character" w:customStyle="1" w:styleId="Figure-titleZnak">
    <w:name w:val="Figure - title Znak"/>
    <w:link w:val="Figure-title"/>
    <w:rsid w:val="00827981"/>
    <w:rPr>
      <w:rFonts w:ascii="Calibri" w:eastAsia="Calibri" w:hAnsi="Calibri"/>
      <w:b/>
      <w:color w:val="auto"/>
      <w:sz w:val="18"/>
      <w:szCs w:val="18"/>
      <w:lang w:val="en-GB"/>
    </w:rPr>
  </w:style>
  <w:style w:type="paragraph" w:customStyle="1" w:styleId="Table-source">
    <w:name w:val="Table - source"/>
    <w:basedOn w:val="Normal"/>
    <w:link w:val="Table-sourceZnak"/>
    <w:autoRedefine/>
    <w:qFormat/>
    <w:rsid w:val="00827981"/>
    <w:pPr>
      <w:spacing w:after="240"/>
      <w:ind w:left="0" w:firstLine="0"/>
      <w:jc w:val="left"/>
    </w:pPr>
    <w:rPr>
      <w:rFonts w:ascii="Calibri" w:eastAsia="Calibri" w:hAnsi="Calibri"/>
      <w:color w:val="auto"/>
      <w:sz w:val="16"/>
      <w:szCs w:val="16"/>
      <w:lang w:val="en-GB"/>
    </w:rPr>
  </w:style>
  <w:style w:type="character" w:customStyle="1" w:styleId="Table-sourceZnak">
    <w:name w:val="Table - source Znak"/>
    <w:link w:val="Table-source"/>
    <w:rsid w:val="00827981"/>
    <w:rPr>
      <w:rFonts w:ascii="Calibri" w:eastAsia="Calibri" w:hAnsi="Calibri"/>
      <w:color w:val="auto"/>
      <w:lang w:val="en-GB"/>
    </w:rPr>
  </w:style>
  <w:style w:type="paragraph" w:customStyle="1" w:styleId="Figure-source">
    <w:name w:val="Figure - source"/>
    <w:basedOn w:val="Table-source"/>
    <w:link w:val="Figure-sourceZnak"/>
    <w:qFormat/>
    <w:rsid w:val="00827981"/>
  </w:style>
  <w:style w:type="character" w:customStyle="1" w:styleId="Figure-sourceZnak">
    <w:name w:val="Figure - source Znak"/>
    <w:link w:val="Figure-source"/>
    <w:rsid w:val="00827981"/>
    <w:rPr>
      <w:rFonts w:ascii="Calibri" w:eastAsia="Calibri" w:hAnsi="Calibri"/>
      <w:color w:val="auto"/>
      <w:lang w:val="en-GB"/>
    </w:rPr>
  </w:style>
  <w:style w:type="paragraph" w:customStyle="1" w:styleId="1Akapit">
    <w:name w:val="1.Akapit"/>
    <w:basedOn w:val="Normal"/>
    <w:link w:val="1AkapitZnak"/>
    <w:qFormat/>
    <w:rsid w:val="00827981"/>
    <w:pPr>
      <w:ind w:left="0" w:firstLine="340"/>
    </w:pPr>
    <w:rPr>
      <w:rFonts w:ascii="Calibri" w:eastAsia="Calibri" w:hAnsi="Calibri"/>
      <w:color w:val="auto"/>
      <w:sz w:val="20"/>
      <w:szCs w:val="20"/>
      <w:lang w:val="en-GB"/>
    </w:rPr>
  </w:style>
  <w:style w:type="character" w:customStyle="1" w:styleId="1AkapitZnak">
    <w:name w:val="1.Akapit Znak"/>
    <w:link w:val="1Akapit"/>
    <w:rsid w:val="00827981"/>
    <w:rPr>
      <w:rFonts w:ascii="Calibri" w:eastAsia="Calibri" w:hAnsi="Calibri"/>
      <w:color w:val="auto"/>
      <w:sz w:val="20"/>
      <w:szCs w:val="20"/>
      <w:lang w:val="en-GB"/>
    </w:rPr>
  </w:style>
  <w:style w:type="character" w:customStyle="1" w:styleId="gt-baf-base">
    <w:name w:val="gt-baf-base"/>
    <w:uiPriority w:val="99"/>
    <w:rsid w:val="00827981"/>
    <w:rPr>
      <w:rFonts w:ascii="Times New Roman" w:hAnsi="Times New Roman" w:cs="Times New Roman" w:hint="default"/>
    </w:rPr>
  </w:style>
  <w:style w:type="paragraph" w:customStyle="1" w:styleId="EBERtext">
    <w:name w:val="EBER text"/>
    <w:basedOn w:val="Normal"/>
    <w:link w:val="EBERtextChar"/>
    <w:uiPriority w:val="99"/>
    <w:rsid w:val="00827981"/>
    <w:pPr>
      <w:ind w:left="0" w:firstLine="284"/>
    </w:pPr>
    <w:rPr>
      <w:rFonts w:ascii="Calibri" w:hAnsi="Calibri"/>
      <w:color w:val="auto"/>
      <w:sz w:val="20"/>
      <w:szCs w:val="20"/>
      <w:lang w:val="en-GB"/>
    </w:rPr>
  </w:style>
  <w:style w:type="character" w:customStyle="1" w:styleId="EBERtextChar">
    <w:name w:val="EBER text Char"/>
    <w:link w:val="EBERtext"/>
    <w:uiPriority w:val="99"/>
    <w:locked/>
    <w:rsid w:val="00827981"/>
    <w:rPr>
      <w:rFonts w:ascii="Calibri" w:eastAsia="Times New Roman" w:hAnsi="Calibri"/>
      <w:color w:val="auto"/>
      <w:sz w:val="20"/>
      <w:szCs w:val="20"/>
      <w:lang w:val="en-GB"/>
    </w:rPr>
  </w:style>
  <w:style w:type="paragraph" w:customStyle="1" w:styleId="2Tytu-2">
    <w:name w:val="2.Tytuł-2"/>
    <w:basedOn w:val="Normal"/>
    <w:link w:val="2Tytu-2Znak"/>
    <w:qFormat/>
    <w:rsid w:val="00827981"/>
    <w:pPr>
      <w:spacing w:before="180" w:after="60"/>
      <w:ind w:left="0" w:firstLine="0"/>
      <w:jc w:val="center"/>
    </w:pPr>
    <w:rPr>
      <w:rFonts w:ascii="Calibri" w:eastAsia="Calibri" w:hAnsi="Calibri"/>
      <w:b/>
      <w:color w:val="auto"/>
      <w:sz w:val="20"/>
      <w:szCs w:val="20"/>
      <w:lang w:val="en-GB"/>
    </w:rPr>
  </w:style>
  <w:style w:type="character" w:customStyle="1" w:styleId="2Tytu-2Znak">
    <w:name w:val="2.Tytuł-2 Znak"/>
    <w:link w:val="2Tytu-2"/>
    <w:rsid w:val="00827981"/>
    <w:rPr>
      <w:rFonts w:ascii="Calibri" w:eastAsia="Calibri" w:hAnsi="Calibri"/>
      <w:b/>
      <w:color w:val="auto"/>
      <w:sz w:val="20"/>
      <w:szCs w:val="20"/>
      <w:lang w:val="en-GB"/>
    </w:rPr>
  </w:style>
  <w:style w:type="character" w:customStyle="1" w:styleId="AkapitZnak">
    <w:name w:val="Akapit Znak"/>
    <w:link w:val="Akapit"/>
    <w:locked/>
    <w:rsid w:val="00827981"/>
    <w:rPr>
      <w:lang w:val="en-GB"/>
    </w:rPr>
  </w:style>
  <w:style w:type="paragraph" w:customStyle="1" w:styleId="Akapit">
    <w:name w:val="Akapit"/>
    <w:basedOn w:val="Normal"/>
    <w:link w:val="AkapitZnak"/>
    <w:qFormat/>
    <w:rsid w:val="00827981"/>
    <w:pPr>
      <w:ind w:left="0" w:firstLine="340"/>
    </w:pPr>
    <w:rPr>
      <w:rFonts w:eastAsiaTheme="minorHAnsi"/>
      <w:sz w:val="16"/>
      <w:szCs w:val="16"/>
      <w:lang w:val="en-GB"/>
    </w:rPr>
  </w:style>
  <w:style w:type="paragraph" w:customStyle="1" w:styleId="TableParagraph">
    <w:name w:val="Table Paragraph"/>
    <w:basedOn w:val="Normal"/>
    <w:uiPriority w:val="1"/>
    <w:qFormat/>
    <w:rsid w:val="00827981"/>
    <w:pPr>
      <w:widowControl w:val="0"/>
      <w:autoSpaceDE w:val="0"/>
      <w:autoSpaceDN w:val="0"/>
      <w:ind w:left="0" w:firstLine="0"/>
      <w:jc w:val="left"/>
    </w:pPr>
    <w:rPr>
      <w:color w:val="auto"/>
      <w:sz w:val="22"/>
      <w:szCs w:val="22"/>
      <w:lang w:bidi="en-US"/>
    </w:rPr>
  </w:style>
  <w:style w:type="character" w:customStyle="1" w:styleId="st">
    <w:name w:val="st"/>
    <w:basedOn w:val="DefaultParagraphFont"/>
    <w:rsid w:val="00C93D6E"/>
  </w:style>
  <w:style w:type="character" w:customStyle="1" w:styleId="text12a">
    <w:name w:val="text12a"/>
    <w:basedOn w:val="DefaultParagraphFont"/>
    <w:rsid w:val="00C93D6E"/>
  </w:style>
  <w:style w:type="paragraph" w:customStyle="1" w:styleId="cite-style-chicago">
    <w:name w:val="cite-style-chicago"/>
    <w:basedOn w:val="Normal"/>
    <w:rsid w:val="00C93D6E"/>
    <w:pPr>
      <w:spacing w:before="100" w:beforeAutospacing="1" w:after="100" w:afterAutospacing="1"/>
      <w:ind w:left="0" w:firstLine="0"/>
      <w:jc w:val="left"/>
    </w:pPr>
    <w:rPr>
      <w:color w:val="auto"/>
    </w:rPr>
  </w:style>
  <w:style w:type="paragraph" w:customStyle="1" w:styleId="footnote">
    <w:name w:val="footnote"/>
    <w:basedOn w:val="Normal"/>
    <w:uiPriority w:val="99"/>
    <w:rsid w:val="00C93D6E"/>
    <w:pPr>
      <w:spacing w:before="100" w:beforeAutospacing="1" w:after="100" w:afterAutospacing="1"/>
      <w:ind w:left="0" w:firstLine="0"/>
      <w:jc w:val="left"/>
    </w:pPr>
    <w:rPr>
      <w:color w:val="auto"/>
    </w:rPr>
  </w:style>
  <w:style w:type="paragraph" w:customStyle="1" w:styleId="cite-short-paragraph">
    <w:name w:val="cite-short-paragraph"/>
    <w:basedOn w:val="Normal"/>
    <w:rsid w:val="00C93D6E"/>
    <w:pPr>
      <w:spacing w:before="100" w:beforeAutospacing="1" w:after="100" w:afterAutospacing="1"/>
      <w:ind w:left="0" w:firstLine="0"/>
      <w:jc w:val="left"/>
    </w:pPr>
    <w:rPr>
      <w:color w:val="auto"/>
    </w:rPr>
  </w:style>
  <w:style w:type="character" w:customStyle="1" w:styleId="nlmarticle-title">
    <w:name w:val="nlm_article-title"/>
    <w:basedOn w:val="DefaultParagraphFont"/>
    <w:rsid w:val="00EE40F2"/>
  </w:style>
  <w:style w:type="paragraph" w:customStyle="1" w:styleId="FigureTitle">
    <w:name w:val="Figure Title"/>
    <w:basedOn w:val="Normal"/>
    <w:qFormat/>
    <w:rsid w:val="007B668F"/>
    <w:pPr>
      <w:spacing w:before="240" w:after="480"/>
      <w:ind w:left="0" w:firstLine="0"/>
      <w:jc w:val="left"/>
    </w:pPr>
    <w:rPr>
      <w:rFonts w:eastAsiaTheme="minorHAnsi" w:cstheme="majorBidi"/>
      <w:bCs/>
      <w:i/>
      <w:color w:val="auto"/>
      <w:lang w:val="en-GB"/>
    </w:rPr>
  </w:style>
  <w:style w:type="character" w:customStyle="1" w:styleId="hlfld-contribauthor">
    <w:name w:val="hlfld-contribauthor"/>
    <w:basedOn w:val="DefaultParagraphFont"/>
    <w:rsid w:val="007B668F"/>
  </w:style>
  <w:style w:type="character" w:customStyle="1" w:styleId="nlmgiven-names">
    <w:name w:val="nlm_given-names"/>
    <w:basedOn w:val="DefaultParagraphFont"/>
    <w:rsid w:val="007B668F"/>
  </w:style>
  <w:style w:type="character" w:customStyle="1" w:styleId="nlmconf-name">
    <w:name w:val="nlm_conf-name"/>
    <w:basedOn w:val="DefaultParagraphFont"/>
    <w:rsid w:val="007B668F"/>
  </w:style>
  <w:style w:type="character" w:customStyle="1" w:styleId="nlmconf-loc">
    <w:name w:val="nlm_conf-loc"/>
    <w:basedOn w:val="DefaultParagraphFont"/>
    <w:rsid w:val="007B668F"/>
  </w:style>
  <w:style w:type="character" w:customStyle="1" w:styleId="nlmpublisher-name">
    <w:name w:val="nlm_publisher-name"/>
    <w:basedOn w:val="DefaultParagraphFont"/>
    <w:rsid w:val="007B668F"/>
  </w:style>
  <w:style w:type="table" w:customStyle="1" w:styleId="GridTable2-Accent11">
    <w:name w:val="Grid Table 2 - Accent 11"/>
    <w:basedOn w:val="TableNormal"/>
    <w:uiPriority w:val="47"/>
    <w:rsid w:val="001A66D2"/>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PAPER">
    <w:name w:val="PAPER"/>
    <w:basedOn w:val="Normal"/>
    <w:link w:val="PAPERChar"/>
    <w:qFormat/>
    <w:rsid w:val="00BA69BC"/>
    <w:pPr>
      <w:spacing w:line="360" w:lineRule="auto"/>
      <w:ind w:left="0" w:firstLine="0"/>
    </w:pPr>
    <w:rPr>
      <w:szCs w:val="22"/>
    </w:rPr>
  </w:style>
  <w:style w:type="character" w:customStyle="1" w:styleId="PAPERChar">
    <w:name w:val="PAPER Char"/>
    <w:basedOn w:val="DefaultParagraphFont"/>
    <w:link w:val="PAPER"/>
    <w:rsid w:val="00BA69BC"/>
    <w:rPr>
      <w:rFonts w:eastAsia="Times New Roman"/>
      <w:sz w:val="24"/>
      <w:szCs w:val="22"/>
    </w:rPr>
  </w:style>
  <w:style w:type="character" w:customStyle="1" w:styleId="nlmstring-name">
    <w:name w:val="nlm_string-name"/>
    <w:basedOn w:val="DefaultParagraphFont"/>
    <w:rsid w:val="00981EFA"/>
  </w:style>
  <w:style w:type="character" w:customStyle="1" w:styleId="nlmyear">
    <w:name w:val="nlm_year"/>
    <w:basedOn w:val="DefaultParagraphFont"/>
    <w:rsid w:val="00981EFA"/>
  </w:style>
  <w:style w:type="character" w:customStyle="1" w:styleId="nlmpublisher-loc">
    <w:name w:val="nlm_publisher-loc"/>
    <w:basedOn w:val="DefaultParagraphFont"/>
    <w:rsid w:val="00981EFA"/>
  </w:style>
  <w:style w:type="table" w:customStyle="1" w:styleId="TableGrid1">
    <w:name w:val="Table Grid1"/>
    <w:basedOn w:val="TableNormal"/>
    <w:next w:val="TableGrid"/>
    <w:uiPriority w:val="59"/>
    <w:rsid w:val="00E01690"/>
    <w:pPr>
      <w:spacing w:line="240" w:lineRule="auto"/>
      <w:ind w:left="0" w:firstLine="0"/>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MAbstract">
    <w:name w:val="JOM Abstract"/>
    <w:basedOn w:val="Normal"/>
    <w:qFormat/>
    <w:rsid w:val="00C1796E"/>
    <w:pPr>
      <w:spacing w:before="240"/>
      <w:ind w:left="247" w:right="301" w:firstLine="0"/>
    </w:pPr>
    <w:rPr>
      <w:rFonts w:ascii="Garamond" w:eastAsia="Calibri" w:hAnsi="Garamond" w:cs="Arial"/>
      <w:color w:val="auto"/>
      <w:szCs w:val="22"/>
    </w:rPr>
  </w:style>
  <w:style w:type="paragraph" w:customStyle="1" w:styleId="JOMBL">
    <w:name w:val="JOM BL"/>
    <w:basedOn w:val="Normal"/>
    <w:next w:val="JOMBodyText"/>
    <w:qFormat/>
    <w:rsid w:val="00C1796E"/>
    <w:pPr>
      <w:numPr>
        <w:numId w:val="1"/>
      </w:numPr>
      <w:spacing w:after="40" w:line="259" w:lineRule="auto"/>
      <w:jc w:val="left"/>
    </w:pPr>
    <w:rPr>
      <w:rFonts w:ascii="Garamond" w:eastAsia="Calibri" w:hAnsi="Garamond" w:cs="Arial"/>
      <w:iCs/>
      <w:color w:val="auto"/>
      <w:szCs w:val="22"/>
    </w:rPr>
  </w:style>
  <w:style w:type="paragraph" w:customStyle="1" w:styleId="JOMBodyText">
    <w:name w:val="JOM Body Text"/>
    <w:basedOn w:val="Normal"/>
    <w:qFormat/>
    <w:rsid w:val="00C1796E"/>
    <w:pPr>
      <w:spacing w:after="160"/>
      <w:ind w:left="0" w:firstLine="0"/>
    </w:pPr>
    <w:rPr>
      <w:rFonts w:ascii="Garamond" w:eastAsia="Calibri" w:hAnsi="Garamond" w:cs="Arial"/>
      <w:color w:val="auto"/>
      <w:szCs w:val="22"/>
    </w:rPr>
  </w:style>
  <w:style w:type="paragraph" w:customStyle="1" w:styleId="JOMTableCaption">
    <w:name w:val="JOM Table Caption"/>
    <w:basedOn w:val="Normal"/>
    <w:qFormat/>
    <w:rsid w:val="00C1796E"/>
    <w:pPr>
      <w:keepNext/>
      <w:ind w:left="0" w:firstLine="0"/>
      <w:jc w:val="left"/>
    </w:pPr>
    <w:rPr>
      <w:rFonts w:ascii="Garamond" w:eastAsia="Calibri" w:hAnsi="Garamond" w:cs="Arial"/>
      <w:i/>
      <w:iCs/>
      <w:color w:val="auto"/>
      <w:szCs w:val="18"/>
    </w:rPr>
  </w:style>
  <w:style w:type="paragraph" w:customStyle="1" w:styleId="JOMTITLE">
    <w:name w:val="JOM TITLE"/>
    <w:basedOn w:val="Normal"/>
    <w:qFormat/>
    <w:rsid w:val="00C1796E"/>
    <w:pPr>
      <w:spacing w:after="160" w:line="276" w:lineRule="auto"/>
      <w:ind w:left="0" w:firstLine="0"/>
      <w:jc w:val="left"/>
    </w:pPr>
    <w:rPr>
      <w:rFonts w:ascii="Garamond" w:eastAsia="DejaVuSerif-Bold" w:hAnsi="Garamond" w:cs="DejaVuSerif-Bold"/>
      <w:b/>
      <w:bCs/>
      <w:color w:val="auto"/>
      <w:sz w:val="48"/>
      <w:szCs w:val="48"/>
    </w:rPr>
  </w:style>
  <w:style w:type="paragraph" w:customStyle="1" w:styleId="JOMAU">
    <w:name w:val="JOM AU"/>
    <w:basedOn w:val="Normal"/>
    <w:next w:val="JOMAbstract"/>
    <w:qFormat/>
    <w:rsid w:val="00C1796E"/>
    <w:pPr>
      <w:spacing w:before="240"/>
      <w:ind w:left="252" w:firstLine="0"/>
      <w:jc w:val="left"/>
    </w:pPr>
    <w:rPr>
      <w:rFonts w:ascii="Bookman Old Style" w:eastAsia="Calibri" w:hAnsi="Bookman Old Style" w:cs="Arial"/>
      <w:i/>
      <w:iCs/>
      <w:color w:val="auto"/>
    </w:rPr>
  </w:style>
  <w:style w:type="paragraph" w:customStyle="1" w:styleId="JOMH1">
    <w:name w:val="JOM H1"/>
    <w:basedOn w:val="Heading1"/>
    <w:next w:val="JOMBodyText"/>
    <w:link w:val="JOMH1Char"/>
    <w:qFormat/>
    <w:rsid w:val="00C1796E"/>
    <w:pPr>
      <w:spacing w:before="240" w:line="259" w:lineRule="auto"/>
    </w:pPr>
    <w:rPr>
      <w:rFonts w:ascii="Garamond" w:hAnsi="Garamond"/>
      <w:color w:val="2E74B5"/>
      <w:sz w:val="32"/>
      <w:szCs w:val="32"/>
      <w:shd w:val="clear" w:color="auto" w:fill="auto"/>
      <w:lang w:val="en-US" w:eastAsia="en-US"/>
    </w:rPr>
  </w:style>
  <w:style w:type="character" w:customStyle="1" w:styleId="JOMH1Char">
    <w:name w:val="JOM H1 Char"/>
    <w:link w:val="JOMH1"/>
    <w:rsid w:val="00C1796E"/>
    <w:rPr>
      <w:rFonts w:ascii="Garamond" w:eastAsia="SimSun" w:hAnsi="Garamond"/>
      <w:b/>
      <w:bCs/>
      <w:color w:val="2E74B5"/>
      <w:sz w:val="32"/>
      <w:szCs w:val="32"/>
    </w:rPr>
  </w:style>
  <w:style w:type="paragraph" w:customStyle="1" w:styleId="JOMH2">
    <w:name w:val="JOM H2"/>
    <w:basedOn w:val="JOMH1"/>
    <w:next w:val="JOMBodyText"/>
    <w:qFormat/>
    <w:rsid w:val="00C1796E"/>
  </w:style>
  <w:style w:type="paragraph" w:customStyle="1" w:styleId="JOMH3">
    <w:name w:val="JOM H3"/>
    <w:basedOn w:val="JOMH2"/>
    <w:next w:val="JOMBodyText"/>
    <w:qFormat/>
    <w:rsid w:val="00C1796E"/>
    <w:rPr>
      <w:i/>
      <w:sz w:val="24"/>
    </w:rPr>
  </w:style>
  <w:style w:type="character" w:customStyle="1" w:styleId="EndnoteTextChar">
    <w:name w:val="Endnote Text Char"/>
    <w:basedOn w:val="DefaultParagraphFont"/>
    <w:link w:val="EndnoteText"/>
    <w:uiPriority w:val="99"/>
    <w:rsid w:val="00C1796E"/>
    <w:rPr>
      <w:rFonts w:ascii="Calibri" w:eastAsia="Calibri" w:hAnsi="Calibri" w:cs="Arial"/>
      <w:sz w:val="20"/>
      <w:szCs w:val="20"/>
    </w:rPr>
  </w:style>
  <w:style w:type="paragraph" w:styleId="EndnoteText">
    <w:name w:val="endnote text"/>
    <w:basedOn w:val="Normal"/>
    <w:link w:val="EndnoteTextChar"/>
    <w:uiPriority w:val="99"/>
    <w:unhideWhenUsed/>
    <w:rsid w:val="00C1796E"/>
    <w:pPr>
      <w:spacing w:after="160" w:line="259" w:lineRule="auto"/>
      <w:ind w:left="0" w:firstLine="0"/>
      <w:jc w:val="left"/>
    </w:pPr>
    <w:rPr>
      <w:rFonts w:ascii="Calibri" w:eastAsia="Calibri" w:hAnsi="Calibri" w:cs="Arial"/>
      <w:sz w:val="20"/>
      <w:szCs w:val="20"/>
    </w:rPr>
  </w:style>
  <w:style w:type="character" w:customStyle="1" w:styleId="EndnoteTextChar1">
    <w:name w:val="Endnote Text Char1"/>
    <w:basedOn w:val="DefaultParagraphFont"/>
    <w:uiPriority w:val="99"/>
    <w:semiHidden/>
    <w:rsid w:val="00C1796E"/>
    <w:rPr>
      <w:rFonts w:eastAsia="Times New Roman"/>
      <w:sz w:val="20"/>
      <w:szCs w:val="20"/>
    </w:rPr>
  </w:style>
  <w:style w:type="paragraph" w:customStyle="1" w:styleId="JOMNL">
    <w:name w:val="JOM NL"/>
    <w:basedOn w:val="Normal"/>
    <w:next w:val="JOMBodyText"/>
    <w:qFormat/>
    <w:rsid w:val="00C1796E"/>
    <w:pPr>
      <w:numPr>
        <w:numId w:val="3"/>
      </w:numPr>
      <w:spacing w:after="160" w:line="259" w:lineRule="auto"/>
      <w:jc w:val="left"/>
    </w:pPr>
    <w:rPr>
      <w:rFonts w:ascii="Garamond" w:eastAsia="Calibri" w:hAnsi="Garamond" w:cs="Arial"/>
      <w:color w:val="auto"/>
      <w:szCs w:val="22"/>
    </w:rPr>
  </w:style>
  <w:style w:type="paragraph" w:styleId="ListNumber">
    <w:name w:val="List Number"/>
    <w:basedOn w:val="Normal"/>
    <w:uiPriority w:val="99"/>
    <w:semiHidden/>
    <w:unhideWhenUsed/>
    <w:rsid w:val="00C1796E"/>
    <w:pPr>
      <w:numPr>
        <w:numId w:val="2"/>
      </w:numPr>
      <w:spacing w:after="160" w:line="259" w:lineRule="auto"/>
      <w:contextualSpacing/>
      <w:jc w:val="left"/>
    </w:pPr>
    <w:rPr>
      <w:rFonts w:ascii="Calibri" w:eastAsia="Calibri" w:hAnsi="Calibri" w:cs="Arial"/>
      <w:color w:val="auto"/>
      <w:sz w:val="22"/>
      <w:szCs w:val="22"/>
    </w:rPr>
  </w:style>
  <w:style w:type="table" w:styleId="LightShading-Accent2">
    <w:name w:val="Light Shading Accent 2"/>
    <w:basedOn w:val="TableNormal"/>
    <w:link w:val="LightShading-Accent2Char"/>
    <w:uiPriority w:val="60"/>
    <w:rsid w:val="00C1796E"/>
    <w:pPr>
      <w:spacing w:line="240" w:lineRule="auto"/>
      <w:ind w:left="0" w:firstLine="0"/>
      <w:jc w:val="left"/>
    </w:pPr>
    <w:rPr>
      <w:i/>
      <w:iCs/>
      <w:color w:val="5B9BD5"/>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LightShading-Accent2"/>
    <w:uiPriority w:val="30"/>
    <w:rsid w:val="00C1796E"/>
    <w:rPr>
      <w:i/>
      <w:iCs/>
      <w:color w:val="5B9BD5"/>
      <w:sz w:val="22"/>
      <w:szCs w:val="22"/>
    </w:rPr>
  </w:style>
  <w:style w:type="table" w:styleId="ColorfulGrid-Accent1">
    <w:name w:val="Colorful Grid Accent 1"/>
    <w:basedOn w:val="TableNormal"/>
    <w:link w:val="ColorfulGrid-Accent1Char"/>
    <w:uiPriority w:val="29"/>
    <w:rsid w:val="00C1796E"/>
    <w:pPr>
      <w:spacing w:line="240" w:lineRule="auto"/>
      <w:ind w:left="0" w:firstLine="0"/>
      <w:jc w:val="left"/>
    </w:pPr>
    <w:rPr>
      <w:i/>
      <w:iCs/>
      <w:color w:val="404040"/>
      <w:sz w:val="22"/>
      <w:szCs w:val="22"/>
    </w:rPr>
    <w:tblPr>
      <w:tblStyleRowBandSize w:val="1"/>
      <w:tblStyleColBandSize w:val="1"/>
      <w:tblBorders>
        <w:insideH w:val="single" w:sz="4" w:space="0" w:color="FFFFFF" w:themeColor="background1"/>
      </w:tblBorders>
    </w:tblPr>
    <w:tcPr>
      <w:shd w:val="clear" w:color="auto" w:fill="DEEAF6" w:themeFill="accent1" w:themeFillTint="33"/>
    </w:tcPr>
    <w:tblStylePr w:type="firstRow">
      <w:tblPr/>
      <w:tcPr>
        <w:shd w:val="clear" w:color="auto" w:fill="BDD6EE" w:themeFill="accent1" w:themeFillTint="66"/>
      </w:tcPr>
    </w:tblStylePr>
    <w:tblStylePr w:type="lastRow">
      <w:tblPr/>
      <w:tcPr>
        <w:shd w:val="clear" w:color="auto" w:fill="BDD6EE" w:themeFill="accent1" w:themeFillTint="66"/>
      </w:tcPr>
    </w:tblStylePr>
    <w:tblStylePr w:type="firstCol">
      <w:tblPr/>
      <w:tcPr>
        <w:shd w:val="clear" w:color="auto" w:fill="2E74B5" w:themeFill="accent1" w:themeFillShade="BF"/>
      </w:tcPr>
    </w:tblStylePr>
    <w:tblStylePr w:type="lastCol">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character" w:customStyle="1" w:styleId="ColorfulGrid-Accent1Char">
    <w:name w:val="Colorful Grid - Accent 1 Char"/>
    <w:link w:val="ColorfulGrid-Accent1"/>
    <w:uiPriority w:val="29"/>
    <w:rsid w:val="00C1796E"/>
    <w:rPr>
      <w:i/>
      <w:iCs/>
      <w:color w:val="404040"/>
      <w:sz w:val="22"/>
      <w:szCs w:val="22"/>
    </w:rPr>
  </w:style>
  <w:style w:type="character" w:customStyle="1" w:styleId="unicode">
    <w:name w:val="unicode"/>
    <w:basedOn w:val="DefaultParagraphFont"/>
    <w:rsid w:val="00E23E9C"/>
  </w:style>
  <w:style w:type="character" w:customStyle="1" w:styleId="BodyText2Char">
    <w:name w:val="Body Text 2 Char"/>
    <w:basedOn w:val="DefaultParagraphFont"/>
    <w:link w:val="BodyText2"/>
    <w:uiPriority w:val="99"/>
    <w:semiHidden/>
    <w:rsid w:val="00A47033"/>
    <w:rPr>
      <w:rFonts w:asciiTheme="minorHAnsi" w:hAnsiTheme="minorHAnsi" w:cstheme="minorBidi"/>
      <w:color w:val="auto"/>
      <w:sz w:val="22"/>
      <w:szCs w:val="22"/>
    </w:rPr>
  </w:style>
  <w:style w:type="paragraph" w:styleId="BodyText2">
    <w:name w:val="Body Text 2"/>
    <w:basedOn w:val="Normal"/>
    <w:link w:val="BodyText2Char"/>
    <w:uiPriority w:val="99"/>
    <w:semiHidden/>
    <w:unhideWhenUsed/>
    <w:rsid w:val="00A47033"/>
    <w:pPr>
      <w:widowControl w:val="0"/>
      <w:spacing w:after="120" w:line="480" w:lineRule="auto"/>
      <w:ind w:left="0" w:firstLine="0"/>
      <w:jc w:val="left"/>
    </w:pPr>
    <w:rPr>
      <w:rFonts w:asciiTheme="minorHAnsi" w:eastAsiaTheme="minorHAnsi" w:hAnsiTheme="minorHAnsi" w:cstheme="minorBidi"/>
      <w:color w:val="auto"/>
      <w:sz w:val="22"/>
      <w:szCs w:val="22"/>
    </w:rPr>
  </w:style>
  <w:style w:type="character" w:customStyle="1" w:styleId="UnresolvedMention2">
    <w:name w:val="Unresolved Mention2"/>
    <w:basedOn w:val="DefaultParagraphFont"/>
    <w:uiPriority w:val="99"/>
    <w:semiHidden/>
    <w:unhideWhenUsed/>
    <w:rsid w:val="0027022B"/>
    <w:rPr>
      <w:color w:val="605E5C"/>
      <w:shd w:val="clear" w:color="auto" w:fill="E1DFDD"/>
    </w:rPr>
  </w:style>
  <w:style w:type="character" w:customStyle="1" w:styleId="UnresolvedMention3">
    <w:name w:val="Unresolved Mention3"/>
    <w:basedOn w:val="DefaultParagraphFont"/>
    <w:uiPriority w:val="99"/>
    <w:semiHidden/>
    <w:unhideWhenUsed/>
    <w:rsid w:val="00E21425"/>
    <w:rPr>
      <w:color w:val="605E5C"/>
      <w:shd w:val="clear" w:color="auto" w:fill="E1DFDD"/>
    </w:rPr>
  </w:style>
  <w:style w:type="character" w:customStyle="1" w:styleId="msgcontent">
    <w:name w:val="msgcontent"/>
    <w:rsid w:val="00D576E7"/>
  </w:style>
  <w:style w:type="character" w:styleId="IntenseEmphasis">
    <w:name w:val="Intense Emphasis"/>
    <w:basedOn w:val="DefaultParagraphFont"/>
    <w:uiPriority w:val="21"/>
    <w:qFormat/>
    <w:rsid w:val="007D69A3"/>
    <w:rPr>
      <w:b/>
      <w:bCs/>
      <w:i/>
      <w:iCs/>
      <w:color w:val="5B9BD5" w:themeColor="accent1"/>
    </w:rPr>
  </w:style>
  <w:style w:type="character" w:customStyle="1" w:styleId="UnresolvedMention4">
    <w:name w:val="Unresolved Mention4"/>
    <w:basedOn w:val="DefaultParagraphFont"/>
    <w:uiPriority w:val="99"/>
    <w:semiHidden/>
    <w:unhideWhenUsed/>
    <w:rsid w:val="003A039C"/>
    <w:rPr>
      <w:color w:val="605E5C"/>
      <w:shd w:val="clear" w:color="auto" w:fill="E1DFDD"/>
    </w:rPr>
  </w:style>
  <w:style w:type="paragraph" w:styleId="Revision">
    <w:name w:val="Revision"/>
    <w:hidden/>
    <w:uiPriority w:val="99"/>
    <w:qFormat/>
    <w:rsid w:val="00C018D3"/>
    <w:pPr>
      <w:spacing w:line="240" w:lineRule="auto"/>
      <w:ind w:left="0" w:firstLine="0"/>
      <w:jc w:val="left"/>
    </w:pPr>
    <w:rPr>
      <w:rFonts w:asciiTheme="minorHAnsi" w:hAnsiTheme="minorHAnsi" w:cstheme="minorBidi"/>
      <w:color w:val="auto"/>
      <w:sz w:val="22"/>
      <w:szCs w:val="22"/>
    </w:rPr>
  </w:style>
  <w:style w:type="character" w:customStyle="1" w:styleId="fontstyle21">
    <w:name w:val="fontstyle21"/>
    <w:basedOn w:val="DefaultParagraphFont"/>
    <w:rsid w:val="00EC2268"/>
    <w:rPr>
      <w:rFonts w:ascii="MinionPro-It" w:hAnsi="MinionPro-It" w:hint="default"/>
      <w:b w:val="0"/>
      <w:bCs w:val="0"/>
      <w:i w:val="0"/>
      <w:iCs w:val="0"/>
      <w:color w:val="242021"/>
      <w:sz w:val="22"/>
      <w:szCs w:val="22"/>
    </w:rPr>
  </w:style>
  <w:style w:type="table" w:customStyle="1" w:styleId="LightShading-Accent11">
    <w:name w:val="Light Shading - Accent 11"/>
    <w:basedOn w:val="TableNormal"/>
    <w:uiPriority w:val="60"/>
    <w:rsid w:val="00E31495"/>
    <w:pPr>
      <w:spacing w:line="240" w:lineRule="auto"/>
      <w:ind w:left="0" w:firstLine="0"/>
      <w:jc w:val="left"/>
    </w:pPr>
    <w:rPr>
      <w:rFonts w:asciiTheme="minorHAnsi" w:hAnsiTheme="minorHAnsi" w:cstheme="minorBidi"/>
      <w:color w:val="2E74B5" w:themeColor="accent1" w:themeShade="BF"/>
      <w:sz w:val="22"/>
      <w:szCs w:val="22"/>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FollowedHyperlink">
    <w:name w:val="FollowedHyperlink"/>
    <w:basedOn w:val="DefaultParagraphFont"/>
    <w:uiPriority w:val="99"/>
    <w:unhideWhenUsed/>
    <w:qFormat/>
    <w:rsid w:val="00E31495"/>
    <w:rPr>
      <w:color w:val="954F72" w:themeColor="followedHyperlink"/>
      <w:u w:val="single"/>
    </w:rPr>
  </w:style>
  <w:style w:type="character" w:customStyle="1" w:styleId="UnresolvedMention5">
    <w:name w:val="Unresolved Mention5"/>
    <w:basedOn w:val="DefaultParagraphFont"/>
    <w:uiPriority w:val="99"/>
    <w:semiHidden/>
    <w:unhideWhenUsed/>
    <w:rsid w:val="00DA712F"/>
    <w:rPr>
      <w:color w:val="605E5C"/>
      <w:shd w:val="clear" w:color="auto" w:fill="E1DFDD"/>
    </w:rPr>
  </w:style>
  <w:style w:type="character" w:customStyle="1" w:styleId="fontstyle31">
    <w:name w:val="fontstyle31"/>
    <w:basedOn w:val="DefaultParagraphFont"/>
    <w:rsid w:val="003F07E4"/>
    <w:rPr>
      <w:rFonts w:ascii="SFTI1200" w:hAnsi="SFTI1200" w:hint="default"/>
      <w:b w:val="0"/>
      <w:bCs w:val="0"/>
      <w:i/>
      <w:iCs/>
      <w:color w:val="000000"/>
      <w:sz w:val="24"/>
      <w:szCs w:val="24"/>
    </w:rPr>
  </w:style>
  <w:style w:type="character" w:styleId="PageNumber">
    <w:name w:val="page number"/>
    <w:basedOn w:val="DefaultParagraphFont"/>
    <w:unhideWhenUsed/>
    <w:qFormat/>
    <w:rsid w:val="004C0F6A"/>
  </w:style>
  <w:style w:type="paragraph" w:styleId="BodyText3">
    <w:name w:val="Body Text 3"/>
    <w:basedOn w:val="Normal"/>
    <w:link w:val="BodyText3Char"/>
    <w:uiPriority w:val="99"/>
    <w:semiHidden/>
    <w:unhideWhenUsed/>
    <w:rsid w:val="007D0D19"/>
    <w:pPr>
      <w:spacing w:after="120"/>
      <w:ind w:left="0" w:firstLine="0"/>
      <w:jc w:val="left"/>
    </w:pPr>
    <w:rPr>
      <w:color w:val="auto"/>
      <w:sz w:val="16"/>
      <w:szCs w:val="16"/>
    </w:rPr>
  </w:style>
  <w:style w:type="character" w:customStyle="1" w:styleId="BodyText3Char">
    <w:name w:val="Body Text 3 Char"/>
    <w:basedOn w:val="DefaultParagraphFont"/>
    <w:link w:val="BodyText3"/>
    <w:uiPriority w:val="99"/>
    <w:semiHidden/>
    <w:rsid w:val="007D0D19"/>
    <w:rPr>
      <w:rFonts w:eastAsia="Times New Roman"/>
      <w:color w:val="auto"/>
    </w:rPr>
  </w:style>
  <w:style w:type="paragraph" w:styleId="BodyTextIndent2">
    <w:name w:val="Body Text Indent 2"/>
    <w:basedOn w:val="Normal"/>
    <w:link w:val="BodyTextIndent2Char"/>
    <w:uiPriority w:val="99"/>
    <w:semiHidden/>
    <w:unhideWhenUsed/>
    <w:rsid w:val="007D0D19"/>
    <w:pPr>
      <w:spacing w:after="120" w:line="480" w:lineRule="auto"/>
      <w:ind w:left="360" w:firstLine="0"/>
      <w:jc w:val="left"/>
    </w:pPr>
    <w:rPr>
      <w:color w:val="auto"/>
    </w:rPr>
  </w:style>
  <w:style w:type="character" w:customStyle="1" w:styleId="BodyTextIndent2Char">
    <w:name w:val="Body Text Indent 2 Char"/>
    <w:basedOn w:val="DefaultParagraphFont"/>
    <w:link w:val="BodyTextIndent2"/>
    <w:uiPriority w:val="99"/>
    <w:semiHidden/>
    <w:rsid w:val="007D0D19"/>
    <w:rPr>
      <w:rFonts w:eastAsia="Times New Roman"/>
      <w:color w:val="auto"/>
      <w:sz w:val="24"/>
      <w:szCs w:val="24"/>
    </w:rPr>
  </w:style>
  <w:style w:type="paragraph" w:styleId="BodyTextFirstIndent">
    <w:name w:val="Body Text First Indent"/>
    <w:basedOn w:val="BodyText"/>
    <w:link w:val="BodyTextFirstIndentChar"/>
    <w:uiPriority w:val="99"/>
    <w:semiHidden/>
    <w:unhideWhenUsed/>
    <w:rsid w:val="007D0D19"/>
    <w:pPr>
      <w:spacing w:after="0"/>
      <w:ind w:left="0" w:firstLine="360"/>
      <w:jc w:val="left"/>
    </w:pPr>
    <w:rPr>
      <w:color w:val="auto"/>
    </w:rPr>
  </w:style>
  <w:style w:type="character" w:customStyle="1" w:styleId="BodyTextFirstIndentChar">
    <w:name w:val="Body Text First Indent Char"/>
    <w:basedOn w:val="BodyTextChar"/>
    <w:link w:val="BodyTextFirstIndent"/>
    <w:uiPriority w:val="99"/>
    <w:semiHidden/>
    <w:rsid w:val="007D0D19"/>
    <w:rPr>
      <w:rFonts w:eastAsia="Times New Roman"/>
      <w:color w:val="auto"/>
      <w:sz w:val="24"/>
      <w:szCs w:val="24"/>
    </w:rPr>
  </w:style>
  <w:style w:type="table" w:styleId="PlainTable2">
    <w:name w:val="Plain Table 2"/>
    <w:basedOn w:val="TableNormal"/>
    <w:uiPriority w:val="42"/>
    <w:rsid w:val="007D0D19"/>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MDPI11articletype">
    <w:name w:val="MDPI_1.1_article_type"/>
    <w:next w:val="Normal"/>
    <w:qFormat/>
    <w:rsid w:val="007A26A9"/>
    <w:pPr>
      <w:adjustRightInd w:val="0"/>
      <w:snapToGrid w:val="0"/>
      <w:spacing w:before="240" w:line="240" w:lineRule="auto"/>
      <w:ind w:left="0" w:firstLine="0"/>
      <w:jc w:val="left"/>
    </w:pPr>
    <w:rPr>
      <w:rFonts w:ascii="Palatino Linotype" w:eastAsia="Times New Roman" w:hAnsi="Palatino Linotype"/>
      <w:i/>
      <w:snapToGrid w:val="0"/>
      <w:sz w:val="20"/>
      <w:szCs w:val="22"/>
      <w:lang w:eastAsia="de-DE" w:bidi="en-US"/>
    </w:rPr>
  </w:style>
  <w:style w:type="paragraph" w:customStyle="1" w:styleId="MDPI12title">
    <w:name w:val="MDPI_1.2_title"/>
    <w:next w:val="Normal"/>
    <w:qFormat/>
    <w:rsid w:val="007A26A9"/>
    <w:pPr>
      <w:adjustRightInd w:val="0"/>
      <w:snapToGrid w:val="0"/>
      <w:spacing w:after="240" w:line="240" w:lineRule="atLeast"/>
      <w:ind w:left="0" w:firstLine="0"/>
      <w:jc w:val="left"/>
    </w:pPr>
    <w:rPr>
      <w:rFonts w:ascii="Palatino Linotype" w:eastAsia="Times New Roman" w:hAnsi="Palatino Linotype"/>
      <w:b/>
      <w:snapToGrid w:val="0"/>
      <w:sz w:val="36"/>
      <w:szCs w:val="20"/>
      <w:lang w:eastAsia="de-DE" w:bidi="en-US"/>
    </w:rPr>
  </w:style>
  <w:style w:type="paragraph" w:customStyle="1" w:styleId="MDPI13authornames">
    <w:name w:val="MDPI_1.3_authornames"/>
    <w:next w:val="Normal"/>
    <w:qFormat/>
    <w:rsid w:val="007A26A9"/>
    <w:pPr>
      <w:adjustRightInd w:val="0"/>
      <w:snapToGrid w:val="0"/>
      <w:spacing w:after="360" w:line="260" w:lineRule="atLeast"/>
      <w:ind w:left="0" w:firstLine="0"/>
      <w:jc w:val="left"/>
    </w:pPr>
    <w:rPr>
      <w:rFonts w:ascii="Palatino Linotype" w:eastAsia="Times New Roman" w:hAnsi="Palatino Linotype"/>
      <w:b/>
      <w:sz w:val="20"/>
      <w:szCs w:val="22"/>
      <w:lang w:eastAsia="de-DE" w:bidi="en-US"/>
    </w:rPr>
  </w:style>
  <w:style w:type="paragraph" w:customStyle="1" w:styleId="MDPI14history">
    <w:name w:val="MDPI_1.4_history"/>
    <w:basedOn w:val="Normal"/>
    <w:next w:val="Normal"/>
    <w:qFormat/>
    <w:rsid w:val="007A26A9"/>
    <w:pPr>
      <w:adjustRightInd w:val="0"/>
      <w:snapToGrid w:val="0"/>
      <w:spacing w:line="240" w:lineRule="atLeast"/>
      <w:ind w:left="0" w:right="113" w:firstLine="0"/>
      <w:jc w:val="left"/>
    </w:pPr>
    <w:rPr>
      <w:rFonts w:ascii="Palatino Linotype" w:hAnsi="Palatino Linotype"/>
      <w:sz w:val="14"/>
      <w:szCs w:val="20"/>
      <w:lang w:eastAsia="de-DE" w:bidi="en-US"/>
    </w:rPr>
  </w:style>
  <w:style w:type="paragraph" w:customStyle="1" w:styleId="MDPI16affiliation">
    <w:name w:val="MDPI_1.6_affiliation"/>
    <w:qFormat/>
    <w:rsid w:val="007A26A9"/>
    <w:pPr>
      <w:adjustRightInd w:val="0"/>
      <w:snapToGrid w:val="0"/>
      <w:spacing w:line="200" w:lineRule="atLeast"/>
      <w:ind w:left="2806" w:hanging="198"/>
      <w:jc w:val="left"/>
    </w:pPr>
    <w:rPr>
      <w:rFonts w:ascii="Palatino Linotype" w:eastAsia="Times New Roman" w:hAnsi="Palatino Linotype"/>
      <w:szCs w:val="18"/>
      <w:lang w:eastAsia="de-DE" w:bidi="en-US"/>
    </w:rPr>
  </w:style>
  <w:style w:type="paragraph" w:customStyle="1" w:styleId="MDPI17abstract">
    <w:name w:val="MDPI_1.7_abstract"/>
    <w:next w:val="Normal"/>
    <w:qFormat/>
    <w:rsid w:val="007A26A9"/>
    <w:pPr>
      <w:adjustRightInd w:val="0"/>
      <w:snapToGrid w:val="0"/>
      <w:spacing w:before="240" w:line="260" w:lineRule="atLeast"/>
      <w:ind w:left="2608" w:firstLine="0"/>
    </w:pPr>
    <w:rPr>
      <w:rFonts w:ascii="Palatino Linotype" w:eastAsia="Times New Roman" w:hAnsi="Palatino Linotype"/>
      <w:sz w:val="18"/>
      <w:szCs w:val="22"/>
      <w:lang w:eastAsia="de-DE" w:bidi="en-US"/>
    </w:rPr>
  </w:style>
  <w:style w:type="paragraph" w:customStyle="1" w:styleId="MDPI18keywords">
    <w:name w:val="MDPI_1.8_keywords"/>
    <w:next w:val="Normal"/>
    <w:qFormat/>
    <w:rsid w:val="007A26A9"/>
    <w:pPr>
      <w:adjustRightInd w:val="0"/>
      <w:snapToGrid w:val="0"/>
      <w:spacing w:before="240" w:line="260" w:lineRule="atLeast"/>
      <w:ind w:left="2608" w:firstLine="0"/>
    </w:pPr>
    <w:rPr>
      <w:rFonts w:ascii="Palatino Linotype" w:eastAsia="Times New Roman" w:hAnsi="Palatino Linotype"/>
      <w:snapToGrid w:val="0"/>
      <w:sz w:val="18"/>
      <w:szCs w:val="22"/>
      <w:lang w:eastAsia="de-DE" w:bidi="en-US"/>
    </w:rPr>
  </w:style>
  <w:style w:type="paragraph" w:customStyle="1" w:styleId="MDPI19line">
    <w:name w:val="MDPI_1.9_line"/>
    <w:qFormat/>
    <w:rsid w:val="007A26A9"/>
    <w:pPr>
      <w:pBdr>
        <w:bottom w:val="single" w:sz="6" w:space="1" w:color="auto"/>
      </w:pBdr>
      <w:adjustRightInd w:val="0"/>
      <w:snapToGrid w:val="0"/>
      <w:spacing w:after="480" w:line="260" w:lineRule="atLeast"/>
      <w:ind w:left="2608" w:firstLine="0"/>
    </w:pPr>
    <w:rPr>
      <w:rFonts w:ascii="Palatino Linotype" w:eastAsia="Times New Roman" w:hAnsi="Palatino Linotype" w:cs="Cordia New"/>
      <w:sz w:val="20"/>
      <w:szCs w:val="24"/>
      <w:lang w:eastAsia="de-DE" w:bidi="en-US"/>
    </w:rPr>
  </w:style>
  <w:style w:type="table" w:customStyle="1" w:styleId="Mdeck5tablebodythreelines">
    <w:name w:val="M_deck_5_table_body_three_lines"/>
    <w:basedOn w:val="TableNormal"/>
    <w:uiPriority w:val="99"/>
    <w:rsid w:val="007A26A9"/>
    <w:pPr>
      <w:adjustRightInd w:val="0"/>
      <w:snapToGrid w:val="0"/>
      <w:spacing w:line="300" w:lineRule="exact"/>
      <w:ind w:left="0" w:firstLine="0"/>
      <w:jc w:val="center"/>
    </w:pPr>
    <w:rPr>
      <w:rFonts w:eastAsia="SimSun"/>
      <w:color w:val="auto"/>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paragraph" w:customStyle="1" w:styleId="MDPIheaderjournallogo">
    <w:name w:val="MDPI_header_journal_logo"/>
    <w:qFormat/>
    <w:rsid w:val="007A26A9"/>
    <w:pPr>
      <w:adjustRightInd w:val="0"/>
      <w:snapToGrid w:val="0"/>
      <w:spacing w:line="260" w:lineRule="atLeast"/>
      <w:ind w:left="0" w:firstLine="0"/>
    </w:pPr>
    <w:rPr>
      <w:rFonts w:ascii="Palatino Linotype" w:eastAsia="Times New Roman" w:hAnsi="Palatino Linotype"/>
      <w:i/>
      <w:sz w:val="24"/>
      <w:szCs w:val="22"/>
      <w:lang w:eastAsia="de-CH"/>
    </w:rPr>
  </w:style>
  <w:style w:type="paragraph" w:customStyle="1" w:styleId="MDPI32textnoindent">
    <w:name w:val="MDPI_3.2_text_no_indent"/>
    <w:basedOn w:val="MDPI31text"/>
    <w:qFormat/>
    <w:rsid w:val="007A26A9"/>
    <w:pPr>
      <w:ind w:firstLine="0"/>
    </w:pPr>
  </w:style>
  <w:style w:type="paragraph" w:customStyle="1" w:styleId="MDPI31text">
    <w:name w:val="MDPI_3.1_text"/>
    <w:qFormat/>
    <w:rsid w:val="007A26A9"/>
    <w:pPr>
      <w:adjustRightInd w:val="0"/>
      <w:snapToGrid w:val="0"/>
      <w:spacing w:line="228" w:lineRule="auto"/>
      <w:ind w:left="2608" w:firstLine="425"/>
    </w:pPr>
    <w:rPr>
      <w:rFonts w:ascii="Palatino Linotype" w:eastAsia="Times New Roman" w:hAnsi="Palatino Linotype"/>
      <w:snapToGrid w:val="0"/>
      <w:sz w:val="20"/>
      <w:szCs w:val="22"/>
      <w:lang w:eastAsia="de-DE" w:bidi="en-US"/>
    </w:rPr>
  </w:style>
  <w:style w:type="paragraph" w:customStyle="1" w:styleId="MDPI33textspaceafter">
    <w:name w:val="MDPI_3.3_text_space_after"/>
    <w:qFormat/>
    <w:rsid w:val="007A26A9"/>
    <w:pPr>
      <w:adjustRightInd w:val="0"/>
      <w:snapToGrid w:val="0"/>
      <w:spacing w:after="240" w:line="228" w:lineRule="auto"/>
      <w:ind w:left="2608" w:firstLine="0"/>
    </w:pPr>
    <w:rPr>
      <w:rFonts w:ascii="Palatino Linotype" w:eastAsia="Times New Roman" w:hAnsi="Palatino Linotype"/>
      <w:snapToGrid w:val="0"/>
      <w:sz w:val="20"/>
      <w:szCs w:val="22"/>
      <w:lang w:eastAsia="de-DE" w:bidi="en-US"/>
    </w:rPr>
  </w:style>
  <w:style w:type="paragraph" w:customStyle="1" w:styleId="MDPI35textbeforelist">
    <w:name w:val="MDPI_3.5_text_before_list"/>
    <w:qFormat/>
    <w:rsid w:val="007A26A9"/>
    <w:pPr>
      <w:adjustRightInd w:val="0"/>
      <w:snapToGrid w:val="0"/>
      <w:spacing w:line="228" w:lineRule="auto"/>
      <w:ind w:left="2608" w:firstLine="425"/>
    </w:pPr>
    <w:rPr>
      <w:rFonts w:ascii="Palatino Linotype" w:eastAsia="Times New Roman" w:hAnsi="Palatino Linotype"/>
      <w:snapToGrid w:val="0"/>
      <w:sz w:val="20"/>
      <w:szCs w:val="22"/>
      <w:lang w:eastAsia="de-DE" w:bidi="en-US"/>
    </w:rPr>
  </w:style>
  <w:style w:type="paragraph" w:customStyle="1" w:styleId="MDPI36textafterlist">
    <w:name w:val="MDPI_3.6_text_after_list"/>
    <w:qFormat/>
    <w:rsid w:val="007A26A9"/>
    <w:pPr>
      <w:adjustRightInd w:val="0"/>
      <w:snapToGrid w:val="0"/>
      <w:spacing w:before="120" w:line="228" w:lineRule="auto"/>
      <w:ind w:left="2608" w:firstLine="0"/>
    </w:pPr>
    <w:rPr>
      <w:rFonts w:ascii="Palatino Linotype" w:eastAsia="Times New Roman" w:hAnsi="Palatino Linotype"/>
      <w:snapToGrid w:val="0"/>
      <w:sz w:val="20"/>
      <w:szCs w:val="22"/>
      <w:lang w:eastAsia="de-DE" w:bidi="en-US"/>
    </w:rPr>
  </w:style>
  <w:style w:type="paragraph" w:customStyle="1" w:styleId="MDPI37itemize">
    <w:name w:val="MDPI_3.7_itemize"/>
    <w:qFormat/>
    <w:rsid w:val="007A26A9"/>
    <w:pPr>
      <w:numPr>
        <w:numId w:val="4"/>
      </w:numPr>
      <w:adjustRightInd w:val="0"/>
      <w:snapToGrid w:val="0"/>
      <w:spacing w:line="228" w:lineRule="auto"/>
    </w:pPr>
    <w:rPr>
      <w:rFonts w:ascii="Palatino Linotype" w:eastAsia="Times New Roman" w:hAnsi="Palatino Linotype"/>
      <w:sz w:val="20"/>
      <w:szCs w:val="22"/>
      <w:lang w:eastAsia="de-DE" w:bidi="en-US"/>
    </w:rPr>
  </w:style>
  <w:style w:type="paragraph" w:customStyle="1" w:styleId="MDPI38bullet">
    <w:name w:val="MDPI_3.8_bullet"/>
    <w:qFormat/>
    <w:rsid w:val="007A26A9"/>
    <w:pPr>
      <w:numPr>
        <w:numId w:val="5"/>
      </w:numPr>
      <w:adjustRightInd w:val="0"/>
      <w:snapToGrid w:val="0"/>
      <w:spacing w:line="228" w:lineRule="auto"/>
    </w:pPr>
    <w:rPr>
      <w:rFonts w:ascii="Palatino Linotype" w:eastAsia="Times New Roman" w:hAnsi="Palatino Linotype"/>
      <w:sz w:val="20"/>
      <w:szCs w:val="22"/>
      <w:lang w:eastAsia="de-DE" w:bidi="en-US"/>
    </w:rPr>
  </w:style>
  <w:style w:type="paragraph" w:customStyle="1" w:styleId="MDPI39equation">
    <w:name w:val="MDPI_3.9_equation"/>
    <w:qFormat/>
    <w:rsid w:val="007A26A9"/>
    <w:pPr>
      <w:adjustRightInd w:val="0"/>
      <w:snapToGrid w:val="0"/>
      <w:spacing w:before="120" w:after="120" w:line="260" w:lineRule="atLeast"/>
      <w:ind w:left="709" w:firstLine="0"/>
      <w:jc w:val="center"/>
    </w:pPr>
    <w:rPr>
      <w:rFonts w:ascii="Palatino Linotype" w:eastAsia="Times New Roman" w:hAnsi="Palatino Linotype"/>
      <w:snapToGrid w:val="0"/>
      <w:sz w:val="20"/>
      <w:szCs w:val="22"/>
      <w:lang w:eastAsia="de-DE" w:bidi="en-US"/>
    </w:rPr>
  </w:style>
  <w:style w:type="paragraph" w:customStyle="1" w:styleId="MDPI3aequationnumber">
    <w:name w:val="MDPI_3.a_equation_number"/>
    <w:qFormat/>
    <w:rsid w:val="007A26A9"/>
    <w:pPr>
      <w:spacing w:before="120" w:after="120" w:line="240" w:lineRule="auto"/>
      <w:ind w:left="0" w:firstLine="0"/>
      <w:jc w:val="right"/>
    </w:pPr>
    <w:rPr>
      <w:rFonts w:ascii="Palatino Linotype" w:eastAsia="Times New Roman" w:hAnsi="Palatino Linotype"/>
      <w:snapToGrid w:val="0"/>
      <w:sz w:val="20"/>
      <w:szCs w:val="22"/>
      <w:lang w:eastAsia="de-DE" w:bidi="en-US"/>
    </w:rPr>
  </w:style>
  <w:style w:type="paragraph" w:customStyle="1" w:styleId="MDPI41tablecaption">
    <w:name w:val="MDPI_4.1_table_caption"/>
    <w:qFormat/>
    <w:rsid w:val="007A26A9"/>
    <w:pPr>
      <w:adjustRightInd w:val="0"/>
      <w:snapToGrid w:val="0"/>
      <w:spacing w:before="240" w:after="120" w:line="228" w:lineRule="auto"/>
      <w:ind w:left="2608" w:firstLine="0"/>
      <w:jc w:val="left"/>
    </w:pPr>
    <w:rPr>
      <w:rFonts w:ascii="Palatino Linotype" w:eastAsia="Times New Roman" w:hAnsi="Palatino Linotype" w:cs="Cordia New"/>
      <w:sz w:val="18"/>
      <w:szCs w:val="22"/>
      <w:lang w:eastAsia="de-DE" w:bidi="en-US"/>
    </w:rPr>
  </w:style>
  <w:style w:type="paragraph" w:customStyle="1" w:styleId="MDPI42tablebody">
    <w:name w:val="MDPI_4.2_table_body"/>
    <w:qFormat/>
    <w:rsid w:val="007A26A9"/>
    <w:pPr>
      <w:adjustRightInd w:val="0"/>
      <w:snapToGrid w:val="0"/>
      <w:spacing w:line="260" w:lineRule="atLeast"/>
      <w:ind w:left="0" w:firstLine="0"/>
      <w:jc w:val="center"/>
    </w:pPr>
    <w:rPr>
      <w:rFonts w:ascii="Palatino Linotype" w:eastAsia="Times New Roman" w:hAnsi="Palatino Linotype"/>
      <w:snapToGrid w:val="0"/>
      <w:sz w:val="20"/>
      <w:szCs w:val="20"/>
      <w:lang w:eastAsia="de-DE" w:bidi="en-US"/>
    </w:rPr>
  </w:style>
  <w:style w:type="paragraph" w:customStyle="1" w:styleId="MDPI43tablefooter">
    <w:name w:val="MDPI_4.3_table_footer"/>
    <w:next w:val="MDPI31text"/>
    <w:qFormat/>
    <w:rsid w:val="007A26A9"/>
    <w:pPr>
      <w:adjustRightInd w:val="0"/>
      <w:snapToGrid w:val="0"/>
      <w:spacing w:line="228" w:lineRule="auto"/>
      <w:ind w:left="2608" w:firstLine="0"/>
      <w:jc w:val="left"/>
    </w:pPr>
    <w:rPr>
      <w:rFonts w:ascii="Palatino Linotype" w:eastAsia="Times New Roman" w:hAnsi="Palatino Linotype" w:cs="Cordia New"/>
      <w:sz w:val="18"/>
      <w:szCs w:val="22"/>
      <w:lang w:eastAsia="de-DE" w:bidi="en-US"/>
    </w:rPr>
  </w:style>
  <w:style w:type="paragraph" w:customStyle="1" w:styleId="MDPI51figurecaption">
    <w:name w:val="MDPI_5.1_figure_caption"/>
    <w:qFormat/>
    <w:rsid w:val="007A26A9"/>
    <w:pPr>
      <w:adjustRightInd w:val="0"/>
      <w:snapToGrid w:val="0"/>
      <w:spacing w:before="120" w:after="240" w:line="228" w:lineRule="auto"/>
      <w:ind w:left="2608" w:firstLine="0"/>
      <w:jc w:val="left"/>
    </w:pPr>
    <w:rPr>
      <w:rFonts w:ascii="Palatino Linotype" w:eastAsia="Times New Roman" w:hAnsi="Palatino Linotype"/>
      <w:sz w:val="18"/>
      <w:szCs w:val="20"/>
      <w:lang w:eastAsia="de-DE" w:bidi="en-US"/>
    </w:rPr>
  </w:style>
  <w:style w:type="paragraph" w:customStyle="1" w:styleId="MDPI52figure">
    <w:name w:val="MDPI_5.2_figure"/>
    <w:qFormat/>
    <w:rsid w:val="007A26A9"/>
    <w:pPr>
      <w:adjustRightInd w:val="0"/>
      <w:snapToGrid w:val="0"/>
      <w:spacing w:before="240" w:after="120" w:line="240" w:lineRule="auto"/>
      <w:ind w:left="0" w:firstLine="0"/>
      <w:jc w:val="center"/>
    </w:pPr>
    <w:rPr>
      <w:rFonts w:ascii="Palatino Linotype" w:eastAsia="Times New Roman" w:hAnsi="Palatino Linotype"/>
      <w:snapToGrid w:val="0"/>
      <w:sz w:val="20"/>
      <w:szCs w:val="20"/>
      <w:lang w:eastAsia="de-DE" w:bidi="en-US"/>
    </w:rPr>
  </w:style>
  <w:style w:type="paragraph" w:customStyle="1" w:styleId="MDPIfooterfirstpage">
    <w:name w:val="MDPI_footer_firstpage"/>
    <w:qFormat/>
    <w:rsid w:val="007A26A9"/>
    <w:pPr>
      <w:tabs>
        <w:tab w:val="right" w:pos="8845"/>
      </w:tabs>
      <w:spacing w:line="160" w:lineRule="exact"/>
      <w:ind w:left="0" w:firstLine="0"/>
      <w:jc w:val="left"/>
    </w:pPr>
    <w:rPr>
      <w:rFonts w:ascii="Palatino Linotype" w:eastAsia="Times New Roman" w:hAnsi="Palatino Linotype"/>
      <w:szCs w:val="20"/>
      <w:lang w:eastAsia="de-DE"/>
    </w:rPr>
  </w:style>
  <w:style w:type="paragraph" w:customStyle="1" w:styleId="MDPI23heading3">
    <w:name w:val="MDPI_2.3_heading3"/>
    <w:qFormat/>
    <w:rsid w:val="007A26A9"/>
    <w:pPr>
      <w:adjustRightInd w:val="0"/>
      <w:snapToGrid w:val="0"/>
      <w:spacing w:before="60" w:after="60" w:line="228" w:lineRule="auto"/>
      <w:ind w:left="2608" w:firstLine="0"/>
      <w:jc w:val="left"/>
      <w:outlineLvl w:val="2"/>
    </w:pPr>
    <w:rPr>
      <w:rFonts w:ascii="Palatino Linotype" w:eastAsia="Times New Roman" w:hAnsi="Palatino Linotype"/>
      <w:snapToGrid w:val="0"/>
      <w:sz w:val="20"/>
      <w:szCs w:val="22"/>
      <w:lang w:eastAsia="de-DE" w:bidi="en-US"/>
    </w:rPr>
  </w:style>
  <w:style w:type="paragraph" w:customStyle="1" w:styleId="MDPI21heading1">
    <w:name w:val="MDPI_2.1_heading1"/>
    <w:qFormat/>
    <w:rsid w:val="007A26A9"/>
    <w:pPr>
      <w:adjustRightInd w:val="0"/>
      <w:snapToGrid w:val="0"/>
      <w:spacing w:before="240" w:after="60" w:line="228" w:lineRule="auto"/>
      <w:ind w:left="2608" w:firstLine="0"/>
      <w:jc w:val="left"/>
      <w:outlineLvl w:val="0"/>
    </w:pPr>
    <w:rPr>
      <w:rFonts w:ascii="Palatino Linotype" w:eastAsia="Times New Roman" w:hAnsi="Palatino Linotype"/>
      <w:b/>
      <w:snapToGrid w:val="0"/>
      <w:sz w:val="20"/>
      <w:szCs w:val="22"/>
      <w:lang w:eastAsia="de-DE" w:bidi="en-US"/>
    </w:rPr>
  </w:style>
  <w:style w:type="paragraph" w:customStyle="1" w:styleId="MDPI22heading2">
    <w:name w:val="MDPI_2.2_heading2"/>
    <w:qFormat/>
    <w:rsid w:val="007A26A9"/>
    <w:pPr>
      <w:adjustRightInd w:val="0"/>
      <w:snapToGrid w:val="0"/>
      <w:spacing w:before="60" w:after="60" w:line="228" w:lineRule="auto"/>
      <w:ind w:left="2608" w:firstLine="0"/>
      <w:jc w:val="left"/>
      <w:outlineLvl w:val="1"/>
    </w:pPr>
    <w:rPr>
      <w:rFonts w:ascii="Palatino Linotype" w:eastAsia="Times New Roman" w:hAnsi="Palatino Linotype"/>
      <w:i/>
      <w:noProof/>
      <w:snapToGrid w:val="0"/>
      <w:sz w:val="20"/>
      <w:szCs w:val="22"/>
      <w:lang w:eastAsia="de-DE" w:bidi="en-US"/>
    </w:rPr>
  </w:style>
  <w:style w:type="paragraph" w:customStyle="1" w:styleId="MDPI71References">
    <w:name w:val="MDPI_7.1_References"/>
    <w:qFormat/>
    <w:rsid w:val="007A26A9"/>
    <w:pPr>
      <w:numPr>
        <w:numId w:val="6"/>
      </w:numPr>
      <w:adjustRightInd w:val="0"/>
      <w:snapToGrid w:val="0"/>
      <w:spacing w:line="228" w:lineRule="auto"/>
    </w:pPr>
    <w:rPr>
      <w:rFonts w:ascii="Palatino Linotype" w:eastAsia="Times New Roman" w:hAnsi="Palatino Linotype"/>
      <w:sz w:val="18"/>
      <w:szCs w:val="20"/>
      <w:lang w:eastAsia="de-DE" w:bidi="en-US"/>
    </w:rPr>
  </w:style>
  <w:style w:type="character" w:styleId="LineNumber">
    <w:name w:val="line number"/>
    <w:uiPriority w:val="99"/>
    <w:rsid w:val="007A26A9"/>
    <w:rPr>
      <w:rFonts w:ascii="Palatino Linotype" w:hAnsi="Palatino Linotype"/>
      <w:sz w:val="16"/>
    </w:rPr>
  </w:style>
  <w:style w:type="table" w:customStyle="1" w:styleId="MDPI41threelinetable">
    <w:name w:val="MDPI_4.1_three_line_table"/>
    <w:basedOn w:val="TableNormal"/>
    <w:uiPriority w:val="99"/>
    <w:rsid w:val="007A26A9"/>
    <w:pPr>
      <w:adjustRightInd w:val="0"/>
      <w:snapToGrid w:val="0"/>
      <w:spacing w:line="240" w:lineRule="auto"/>
      <w:ind w:left="0" w:firstLine="0"/>
      <w:jc w:val="center"/>
    </w:pPr>
    <w:rPr>
      <w:rFonts w:ascii="Palatino Linotype" w:eastAsia="SimSun" w:hAnsi="Palatino Linotype"/>
      <w:sz w:val="20"/>
      <w:szCs w:val="20"/>
      <w:lang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table" w:styleId="PlainTable4">
    <w:name w:val="Plain Table 4"/>
    <w:basedOn w:val="TableNormal"/>
    <w:uiPriority w:val="44"/>
    <w:rsid w:val="007A26A9"/>
    <w:pPr>
      <w:spacing w:line="240" w:lineRule="auto"/>
      <w:ind w:left="0" w:firstLine="0"/>
      <w:jc w:val="left"/>
    </w:pPr>
    <w:rPr>
      <w:rFonts w:ascii="Calibri" w:eastAsia="SimSun" w:hAnsi="Calibri"/>
      <w:color w:val="auto"/>
      <w:sz w:val="20"/>
      <w:szCs w:val="20"/>
      <w:lang w:eastAsia="zh-C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rsid w:val="007A26A9"/>
    <w:pPr>
      <w:adjustRightInd w:val="0"/>
      <w:snapToGrid w:val="0"/>
      <w:spacing w:before="240" w:line="228" w:lineRule="auto"/>
      <w:ind w:left="2608" w:firstLine="0"/>
    </w:pPr>
    <w:rPr>
      <w:rFonts w:ascii="Palatino Linotype" w:eastAsia="Times New Roman" w:hAnsi="Palatino Linotype"/>
      <w:snapToGrid w:val="0"/>
      <w:sz w:val="20"/>
      <w:szCs w:val="22"/>
      <w:lang w:eastAsia="de-DE" w:bidi="en-US"/>
    </w:rPr>
  </w:style>
  <w:style w:type="paragraph" w:customStyle="1" w:styleId="MDPI81theorem">
    <w:name w:val="MDPI_8.1_theorem"/>
    <w:qFormat/>
    <w:rsid w:val="007A26A9"/>
    <w:pPr>
      <w:adjustRightInd w:val="0"/>
      <w:snapToGrid w:val="0"/>
      <w:spacing w:line="228" w:lineRule="auto"/>
      <w:ind w:left="2608" w:firstLine="0"/>
    </w:pPr>
    <w:rPr>
      <w:rFonts w:ascii="Palatino Linotype" w:eastAsia="Times New Roman" w:hAnsi="Palatino Linotype"/>
      <w:i/>
      <w:snapToGrid w:val="0"/>
      <w:sz w:val="20"/>
      <w:szCs w:val="22"/>
      <w:lang w:eastAsia="de-DE" w:bidi="en-US"/>
    </w:rPr>
  </w:style>
  <w:style w:type="paragraph" w:customStyle="1" w:styleId="MDPI82proof">
    <w:name w:val="MDPI_8.2_proof"/>
    <w:qFormat/>
    <w:rsid w:val="007A26A9"/>
    <w:pPr>
      <w:adjustRightInd w:val="0"/>
      <w:snapToGrid w:val="0"/>
      <w:spacing w:line="228" w:lineRule="auto"/>
      <w:ind w:left="2608" w:firstLine="0"/>
    </w:pPr>
    <w:rPr>
      <w:rFonts w:ascii="Palatino Linotype" w:eastAsia="Times New Roman" w:hAnsi="Palatino Linotype"/>
      <w:snapToGrid w:val="0"/>
      <w:sz w:val="20"/>
      <w:szCs w:val="22"/>
      <w:lang w:eastAsia="de-DE" w:bidi="en-US"/>
    </w:rPr>
  </w:style>
  <w:style w:type="paragraph" w:customStyle="1" w:styleId="MDPI61Citation">
    <w:name w:val="MDPI_6.1_Citation"/>
    <w:qFormat/>
    <w:rsid w:val="007A26A9"/>
    <w:pPr>
      <w:adjustRightInd w:val="0"/>
      <w:snapToGrid w:val="0"/>
      <w:spacing w:line="240" w:lineRule="atLeast"/>
      <w:ind w:left="0" w:right="113" w:firstLine="0"/>
      <w:jc w:val="left"/>
    </w:pPr>
    <w:rPr>
      <w:rFonts w:ascii="Palatino Linotype" w:eastAsia="SimSun" w:hAnsi="Palatino Linotype" w:cs="Cordia New"/>
      <w:color w:val="auto"/>
      <w:sz w:val="14"/>
      <w:szCs w:val="22"/>
      <w:lang w:eastAsia="zh-CN"/>
    </w:rPr>
  </w:style>
  <w:style w:type="paragraph" w:customStyle="1" w:styleId="MDPI62BackMatter">
    <w:name w:val="MDPI_6.2_BackMatter"/>
    <w:qFormat/>
    <w:rsid w:val="007A26A9"/>
    <w:pPr>
      <w:adjustRightInd w:val="0"/>
      <w:snapToGrid w:val="0"/>
      <w:spacing w:after="120" w:line="228" w:lineRule="auto"/>
      <w:ind w:left="2608" w:firstLine="0"/>
    </w:pPr>
    <w:rPr>
      <w:rFonts w:ascii="Palatino Linotype" w:eastAsia="Times New Roman" w:hAnsi="Palatino Linotype"/>
      <w:snapToGrid w:val="0"/>
      <w:sz w:val="18"/>
      <w:szCs w:val="20"/>
      <w:lang w:bidi="en-US"/>
    </w:rPr>
  </w:style>
  <w:style w:type="paragraph" w:customStyle="1" w:styleId="MDPI63Notes">
    <w:name w:val="MDPI_6.3_Notes"/>
    <w:qFormat/>
    <w:rsid w:val="007A26A9"/>
    <w:pPr>
      <w:adjustRightInd w:val="0"/>
      <w:snapToGrid w:val="0"/>
      <w:spacing w:after="120" w:line="240" w:lineRule="atLeast"/>
      <w:ind w:left="0" w:right="113" w:firstLine="0"/>
      <w:jc w:val="left"/>
    </w:pPr>
    <w:rPr>
      <w:rFonts w:ascii="Palatino Linotype" w:eastAsia="SimSun" w:hAnsi="Palatino Linotype"/>
      <w:snapToGrid w:val="0"/>
      <w:sz w:val="14"/>
      <w:szCs w:val="20"/>
      <w:lang w:bidi="en-US"/>
    </w:rPr>
  </w:style>
  <w:style w:type="paragraph" w:customStyle="1" w:styleId="MDPI15academiceditor">
    <w:name w:val="MDPI_1.5_academic_editor"/>
    <w:qFormat/>
    <w:rsid w:val="007A26A9"/>
    <w:pPr>
      <w:adjustRightInd w:val="0"/>
      <w:snapToGrid w:val="0"/>
      <w:spacing w:before="240" w:line="240" w:lineRule="atLeast"/>
      <w:ind w:left="0" w:right="113" w:firstLine="0"/>
      <w:jc w:val="left"/>
    </w:pPr>
    <w:rPr>
      <w:rFonts w:ascii="Palatino Linotype" w:eastAsia="Times New Roman" w:hAnsi="Palatino Linotype"/>
      <w:sz w:val="14"/>
      <w:szCs w:val="22"/>
      <w:lang w:eastAsia="de-DE" w:bidi="en-US"/>
    </w:rPr>
  </w:style>
  <w:style w:type="paragraph" w:customStyle="1" w:styleId="MDPI19classification">
    <w:name w:val="MDPI_1.9_classification"/>
    <w:qFormat/>
    <w:rsid w:val="007A26A9"/>
    <w:pPr>
      <w:spacing w:before="240" w:line="260" w:lineRule="atLeast"/>
      <w:ind w:left="113" w:firstLine="0"/>
    </w:pPr>
    <w:rPr>
      <w:rFonts w:ascii="Palatino Linotype" w:eastAsia="Times New Roman" w:hAnsi="Palatino Linotype"/>
      <w:b/>
      <w:sz w:val="20"/>
      <w:szCs w:val="22"/>
      <w:lang w:eastAsia="de-DE" w:bidi="en-US"/>
    </w:rPr>
  </w:style>
  <w:style w:type="paragraph" w:customStyle="1" w:styleId="MDPI411onetablecaption">
    <w:name w:val="MDPI_4.1.1_one_table_caption"/>
    <w:qFormat/>
    <w:rsid w:val="007A26A9"/>
    <w:pPr>
      <w:adjustRightInd w:val="0"/>
      <w:snapToGrid w:val="0"/>
      <w:spacing w:before="240" w:after="120" w:line="260" w:lineRule="atLeast"/>
      <w:ind w:left="0" w:firstLine="0"/>
      <w:jc w:val="center"/>
    </w:pPr>
    <w:rPr>
      <w:rFonts w:ascii="Palatino Linotype" w:eastAsia="SimSun" w:hAnsi="Palatino Linotype" w:cs="Cordia New"/>
      <w:noProof/>
      <w:sz w:val="18"/>
      <w:szCs w:val="22"/>
      <w:lang w:eastAsia="zh-CN" w:bidi="en-US"/>
    </w:rPr>
  </w:style>
  <w:style w:type="paragraph" w:customStyle="1" w:styleId="MDPI511onefigurecaption">
    <w:name w:val="MDPI_5.1.1_one_figure_caption"/>
    <w:qFormat/>
    <w:rsid w:val="007A26A9"/>
    <w:pPr>
      <w:adjustRightInd w:val="0"/>
      <w:snapToGrid w:val="0"/>
      <w:spacing w:before="240" w:after="120" w:line="260" w:lineRule="atLeast"/>
      <w:ind w:left="0" w:firstLine="0"/>
      <w:jc w:val="center"/>
    </w:pPr>
    <w:rPr>
      <w:rFonts w:ascii="Palatino Linotype" w:eastAsia="SimSun" w:hAnsi="Palatino Linotype"/>
      <w:noProof/>
      <w:sz w:val="18"/>
      <w:szCs w:val="20"/>
      <w:lang w:eastAsia="zh-CN" w:bidi="en-US"/>
    </w:rPr>
  </w:style>
  <w:style w:type="paragraph" w:customStyle="1" w:styleId="MDPI72Copyright">
    <w:name w:val="MDPI_7.2_Copyright"/>
    <w:qFormat/>
    <w:rsid w:val="007A26A9"/>
    <w:pPr>
      <w:adjustRightInd w:val="0"/>
      <w:snapToGrid w:val="0"/>
      <w:spacing w:before="240" w:line="240" w:lineRule="atLeast"/>
      <w:ind w:left="0" w:right="113" w:firstLine="0"/>
      <w:jc w:val="left"/>
    </w:pPr>
    <w:rPr>
      <w:rFonts w:ascii="Palatino Linotype" w:eastAsia="Times New Roman" w:hAnsi="Palatino Linotype"/>
      <w:noProof/>
      <w:snapToGrid w:val="0"/>
      <w:spacing w:val="-2"/>
      <w:sz w:val="14"/>
      <w:szCs w:val="20"/>
      <w:lang w:val="en-GB" w:eastAsia="en-GB"/>
    </w:rPr>
  </w:style>
  <w:style w:type="paragraph" w:customStyle="1" w:styleId="MDPI73CopyrightImage">
    <w:name w:val="MDPI_7.3_CopyrightImage"/>
    <w:rsid w:val="007A26A9"/>
    <w:pPr>
      <w:adjustRightInd w:val="0"/>
      <w:snapToGrid w:val="0"/>
      <w:spacing w:after="100" w:line="260" w:lineRule="atLeast"/>
      <w:ind w:left="0" w:firstLine="0"/>
      <w:jc w:val="right"/>
    </w:pPr>
    <w:rPr>
      <w:rFonts w:ascii="Palatino Linotype" w:eastAsia="Times New Roman" w:hAnsi="Palatino Linotype"/>
      <w:sz w:val="20"/>
      <w:szCs w:val="20"/>
      <w:lang w:eastAsia="de-CH"/>
    </w:rPr>
  </w:style>
  <w:style w:type="paragraph" w:customStyle="1" w:styleId="MDPIequationFram">
    <w:name w:val="MDPI_equationFram"/>
    <w:qFormat/>
    <w:rsid w:val="007A26A9"/>
    <w:pPr>
      <w:adjustRightInd w:val="0"/>
      <w:snapToGrid w:val="0"/>
      <w:spacing w:before="120" w:after="120" w:line="240" w:lineRule="auto"/>
      <w:ind w:left="0" w:firstLine="0"/>
      <w:jc w:val="center"/>
    </w:pPr>
    <w:rPr>
      <w:rFonts w:ascii="Palatino Linotype" w:eastAsia="Times New Roman" w:hAnsi="Palatino Linotype"/>
      <w:snapToGrid w:val="0"/>
      <w:sz w:val="20"/>
      <w:szCs w:val="22"/>
      <w:lang w:eastAsia="de-DE" w:bidi="en-US"/>
    </w:rPr>
  </w:style>
  <w:style w:type="paragraph" w:customStyle="1" w:styleId="MDPIfooter">
    <w:name w:val="MDPI_footer"/>
    <w:qFormat/>
    <w:rsid w:val="007A26A9"/>
    <w:pPr>
      <w:adjustRightInd w:val="0"/>
      <w:snapToGrid w:val="0"/>
      <w:spacing w:before="120" w:line="260" w:lineRule="atLeast"/>
      <w:ind w:left="0" w:firstLine="0"/>
      <w:jc w:val="center"/>
    </w:pPr>
    <w:rPr>
      <w:rFonts w:ascii="Palatino Linotype" w:eastAsia="Times New Roman" w:hAnsi="Palatino Linotype"/>
      <w:sz w:val="20"/>
      <w:szCs w:val="20"/>
      <w:lang w:eastAsia="de-DE"/>
    </w:rPr>
  </w:style>
  <w:style w:type="paragraph" w:customStyle="1" w:styleId="MDPIheader">
    <w:name w:val="MDPI_header"/>
    <w:qFormat/>
    <w:rsid w:val="007A26A9"/>
    <w:pPr>
      <w:adjustRightInd w:val="0"/>
      <w:snapToGrid w:val="0"/>
      <w:spacing w:after="240" w:line="260" w:lineRule="atLeast"/>
      <w:ind w:left="0" w:firstLine="0"/>
    </w:pPr>
    <w:rPr>
      <w:rFonts w:ascii="Palatino Linotype" w:eastAsia="Times New Roman" w:hAnsi="Palatino Linotype"/>
      <w:iCs/>
      <w:szCs w:val="20"/>
      <w:lang w:eastAsia="de-DE"/>
    </w:rPr>
  </w:style>
  <w:style w:type="paragraph" w:customStyle="1" w:styleId="MDPIheadercitation">
    <w:name w:val="MDPI_header_citation"/>
    <w:rsid w:val="007A26A9"/>
    <w:pPr>
      <w:spacing w:after="240" w:line="240" w:lineRule="auto"/>
      <w:ind w:left="0" w:firstLine="0"/>
      <w:jc w:val="left"/>
    </w:pPr>
    <w:rPr>
      <w:rFonts w:ascii="Palatino Linotype" w:eastAsia="Times New Roman" w:hAnsi="Palatino Linotype"/>
      <w:snapToGrid w:val="0"/>
      <w:sz w:val="18"/>
      <w:szCs w:val="20"/>
      <w:lang w:eastAsia="de-DE" w:bidi="en-US"/>
    </w:rPr>
  </w:style>
  <w:style w:type="paragraph" w:customStyle="1" w:styleId="MDPIheadermdpilogo">
    <w:name w:val="MDPI_header_mdpi_logo"/>
    <w:qFormat/>
    <w:rsid w:val="007A26A9"/>
    <w:pPr>
      <w:adjustRightInd w:val="0"/>
      <w:snapToGrid w:val="0"/>
      <w:spacing w:line="260" w:lineRule="atLeast"/>
      <w:ind w:left="0" w:firstLine="0"/>
      <w:jc w:val="right"/>
    </w:pPr>
    <w:rPr>
      <w:rFonts w:ascii="Palatino Linotype" w:eastAsia="Times New Roman" w:hAnsi="Palatino Linotype"/>
      <w:sz w:val="24"/>
      <w:szCs w:val="22"/>
      <w:lang w:eastAsia="de-CH"/>
    </w:rPr>
  </w:style>
  <w:style w:type="table" w:customStyle="1" w:styleId="MDPITable">
    <w:name w:val="MDPI_Table"/>
    <w:basedOn w:val="TableNormal"/>
    <w:uiPriority w:val="99"/>
    <w:rsid w:val="007A26A9"/>
    <w:pPr>
      <w:spacing w:line="240" w:lineRule="auto"/>
      <w:ind w:left="0" w:firstLine="0"/>
      <w:jc w:val="left"/>
    </w:pPr>
    <w:rPr>
      <w:rFonts w:ascii="Palatino Linotype" w:eastAsia="SimSun" w:hAnsi="Palatino Linotype"/>
      <w:sz w:val="20"/>
      <w:szCs w:val="20"/>
      <w:lang w:val="en-CA"/>
    </w:rPr>
    <w:tblPr>
      <w:tblCellMar>
        <w:left w:w="0" w:type="dxa"/>
        <w:right w:w="0" w:type="dxa"/>
      </w:tblCellMar>
    </w:tblPr>
  </w:style>
  <w:style w:type="paragraph" w:customStyle="1" w:styleId="MDPItext">
    <w:name w:val="MDPI_text"/>
    <w:qFormat/>
    <w:rsid w:val="007A26A9"/>
    <w:pPr>
      <w:spacing w:line="260" w:lineRule="atLeast"/>
      <w:ind w:left="425" w:right="425" w:firstLine="284"/>
    </w:pPr>
    <w:rPr>
      <w:rFonts w:eastAsia="Times New Roman"/>
      <w:noProof/>
      <w:snapToGrid w:val="0"/>
      <w:sz w:val="22"/>
      <w:szCs w:val="22"/>
      <w:lang w:eastAsia="de-DE" w:bidi="en-US"/>
    </w:rPr>
  </w:style>
  <w:style w:type="paragraph" w:customStyle="1" w:styleId="MDPItitle">
    <w:name w:val="MDPI_title"/>
    <w:qFormat/>
    <w:rsid w:val="007A26A9"/>
    <w:pPr>
      <w:adjustRightInd w:val="0"/>
      <w:snapToGrid w:val="0"/>
      <w:spacing w:after="240" w:line="260" w:lineRule="atLeast"/>
      <w:ind w:left="0" w:firstLine="0"/>
    </w:pPr>
    <w:rPr>
      <w:rFonts w:ascii="Palatino Linotype" w:eastAsia="Times New Roman" w:hAnsi="Palatino Linotype"/>
      <w:b/>
      <w:snapToGrid w:val="0"/>
      <w:sz w:val="36"/>
      <w:szCs w:val="20"/>
      <w:lang w:eastAsia="de-DE" w:bidi="en-US"/>
    </w:rPr>
  </w:style>
  <w:style w:type="character" w:styleId="EndnoteReference">
    <w:name w:val="endnote reference"/>
    <w:uiPriority w:val="99"/>
    <w:rsid w:val="007A26A9"/>
    <w:rPr>
      <w:vertAlign w:val="superscript"/>
    </w:rPr>
  </w:style>
  <w:style w:type="paragraph" w:customStyle="1" w:styleId="MsoFootnoteText0">
    <w:name w:val="MsoFootnoteText"/>
    <w:basedOn w:val="NormalWeb"/>
    <w:qFormat/>
    <w:rsid w:val="007A26A9"/>
    <w:pPr>
      <w:spacing w:before="0" w:beforeAutospacing="0" w:after="0" w:afterAutospacing="0" w:line="260" w:lineRule="atLeast"/>
      <w:ind w:left="0" w:firstLine="0"/>
    </w:pPr>
    <w:rPr>
      <w:rFonts w:eastAsia="SimSun"/>
      <w:noProof/>
      <w:sz w:val="20"/>
      <w:lang w:eastAsia="zh-CN"/>
    </w:rPr>
  </w:style>
  <w:style w:type="paragraph" w:customStyle="1" w:styleId="MDPI71FootNotes">
    <w:name w:val="MDPI_7.1_FootNotes"/>
    <w:qFormat/>
    <w:rsid w:val="007A26A9"/>
    <w:pPr>
      <w:numPr>
        <w:numId w:val="7"/>
      </w:numPr>
      <w:adjustRightInd w:val="0"/>
      <w:snapToGrid w:val="0"/>
      <w:spacing w:line="228" w:lineRule="auto"/>
    </w:pPr>
    <w:rPr>
      <w:rFonts w:ascii="Palatino Linotype" w:eastAsiaTheme="minorEastAsia" w:hAnsi="Palatino Linotype"/>
      <w:noProof/>
      <w:sz w:val="18"/>
      <w:szCs w:val="20"/>
      <w:lang w:eastAsia="zh-CN"/>
    </w:rPr>
  </w:style>
  <w:style w:type="paragraph" w:customStyle="1" w:styleId="Header1">
    <w:name w:val="Header1"/>
    <w:basedOn w:val="Normal"/>
    <w:next w:val="Header"/>
    <w:link w:val="Header1Char"/>
    <w:unhideWhenUsed/>
    <w:qFormat/>
    <w:rsid w:val="003B1E41"/>
    <w:pPr>
      <w:tabs>
        <w:tab w:val="center" w:pos="4513"/>
        <w:tab w:val="right" w:pos="9026"/>
      </w:tabs>
      <w:ind w:left="0" w:firstLine="0"/>
    </w:pPr>
    <w:rPr>
      <w:rFonts w:eastAsia="Calibri"/>
      <w:color w:val="auto"/>
      <w:szCs w:val="22"/>
      <w:lang w:val="en-IN" w:eastAsia="en-GB"/>
    </w:rPr>
  </w:style>
  <w:style w:type="character" w:customStyle="1" w:styleId="Header1Char">
    <w:name w:val="Header1 Char"/>
    <w:link w:val="Header1"/>
    <w:rsid w:val="003B1E41"/>
    <w:rPr>
      <w:rFonts w:eastAsia="Calibri"/>
      <w:color w:val="auto"/>
      <w:sz w:val="24"/>
      <w:szCs w:val="22"/>
      <w:lang w:val="en-IN" w:eastAsia="en-GB"/>
    </w:rPr>
  </w:style>
  <w:style w:type="character" w:customStyle="1" w:styleId="boldme1">
    <w:name w:val="boldme1"/>
    <w:uiPriority w:val="99"/>
    <w:rsid w:val="00515A88"/>
    <w:rPr>
      <w:b/>
      <w:bCs/>
    </w:rPr>
  </w:style>
  <w:style w:type="paragraph" w:customStyle="1" w:styleId="DecimalAligned">
    <w:name w:val="Decimal Aligned"/>
    <w:basedOn w:val="Normal"/>
    <w:uiPriority w:val="40"/>
    <w:qFormat/>
    <w:rsid w:val="00515A88"/>
    <w:pPr>
      <w:tabs>
        <w:tab w:val="decimal" w:pos="360"/>
      </w:tabs>
      <w:spacing w:before="200" w:line="480" w:lineRule="auto"/>
      <w:ind w:left="360" w:hanging="360"/>
    </w:pPr>
    <w:rPr>
      <w:rFonts w:ascii="Calibri" w:hAnsi="Calibri" w:cs="Calibri"/>
      <w:color w:val="auto"/>
      <w:sz w:val="22"/>
      <w:szCs w:val="22"/>
    </w:rPr>
  </w:style>
  <w:style w:type="paragraph" w:customStyle="1" w:styleId="pedit">
    <w:name w:val="p_edit"/>
    <w:basedOn w:val="Normal"/>
    <w:rsid w:val="00BC567B"/>
    <w:pPr>
      <w:spacing w:before="100" w:beforeAutospacing="1" w:after="100" w:afterAutospacing="1"/>
      <w:ind w:left="0" w:firstLine="0"/>
      <w:jc w:val="left"/>
    </w:pPr>
    <w:rPr>
      <w:color w:val="auto"/>
    </w:rPr>
  </w:style>
  <w:style w:type="paragraph" w:customStyle="1" w:styleId="pedit0">
    <w:name w:val="pedit"/>
    <w:basedOn w:val="Normal"/>
    <w:rsid w:val="00BC567B"/>
    <w:pPr>
      <w:spacing w:before="100" w:beforeAutospacing="1" w:after="100" w:afterAutospacing="1"/>
      <w:ind w:left="0" w:firstLine="0"/>
      <w:jc w:val="left"/>
    </w:pPr>
    <w:rPr>
      <w:color w:val="auto"/>
    </w:rPr>
  </w:style>
  <w:style w:type="character" w:customStyle="1" w:styleId="mi">
    <w:name w:val="mi"/>
    <w:basedOn w:val="DefaultParagraphFont"/>
    <w:rsid w:val="001B14B1"/>
  </w:style>
  <w:style w:type="character" w:customStyle="1" w:styleId="mn">
    <w:name w:val="mn"/>
    <w:basedOn w:val="DefaultParagraphFont"/>
    <w:rsid w:val="001B14B1"/>
  </w:style>
  <w:style w:type="character" w:customStyle="1" w:styleId="mo">
    <w:name w:val="mo"/>
    <w:basedOn w:val="DefaultParagraphFont"/>
    <w:rsid w:val="001B14B1"/>
  </w:style>
  <w:style w:type="character" w:customStyle="1" w:styleId="msqrt">
    <w:name w:val="msqrt"/>
    <w:basedOn w:val="DefaultParagraphFont"/>
    <w:rsid w:val="001B14B1"/>
  </w:style>
  <w:style w:type="character" w:customStyle="1" w:styleId="mtext">
    <w:name w:val="mtext"/>
    <w:basedOn w:val="DefaultParagraphFont"/>
    <w:rsid w:val="001B14B1"/>
  </w:style>
  <w:style w:type="character" w:customStyle="1" w:styleId="orcid-id-https">
    <w:name w:val="orcid-id-https"/>
    <w:basedOn w:val="DefaultParagraphFont"/>
    <w:rsid w:val="001B14B1"/>
  </w:style>
  <w:style w:type="character" w:customStyle="1" w:styleId="ref-journal">
    <w:name w:val="ref-journal"/>
    <w:basedOn w:val="DefaultParagraphFont"/>
    <w:rsid w:val="00AA010D"/>
  </w:style>
  <w:style w:type="character" w:customStyle="1" w:styleId="ref-vol">
    <w:name w:val="ref-vol"/>
    <w:basedOn w:val="DefaultParagraphFont"/>
    <w:rsid w:val="00AA010D"/>
  </w:style>
  <w:style w:type="paragraph" w:styleId="HTMLPreformatted">
    <w:name w:val="HTML Preformatted"/>
    <w:basedOn w:val="Normal"/>
    <w:link w:val="HTMLPreformattedChar"/>
    <w:uiPriority w:val="99"/>
    <w:unhideWhenUsed/>
    <w:rsid w:val="00AA010D"/>
    <w:pPr>
      <w:ind w:left="0" w:firstLine="0"/>
      <w:jc w:val="left"/>
    </w:pPr>
    <w:rPr>
      <w:rFonts w:ascii="Consolas" w:eastAsiaTheme="minorHAnsi" w:hAnsi="Consolas" w:cs="Consolas"/>
      <w:color w:val="auto"/>
      <w:sz w:val="20"/>
      <w:szCs w:val="20"/>
    </w:rPr>
  </w:style>
  <w:style w:type="character" w:customStyle="1" w:styleId="HTMLPreformattedChar">
    <w:name w:val="HTML Preformatted Char"/>
    <w:basedOn w:val="DefaultParagraphFont"/>
    <w:link w:val="HTMLPreformatted"/>
    <w:uiPriority w:val="99"/>
    <w:rsid w:val="00AA010D"/>
    <w:rPr>
      <w:rFonts w:ascii="Consolas" w:hAnsi="Consolas" w:cs="Consolas"/>
      <w:color w:val="auto"/>
      <w:sz w:val="20"/>
      <w:szCs w:val="20"/>
    </w:rPr>
  </w:style>
  <w:style w:type="character" w:customStyle="1" w:styleId="element-citation">
    <w:name w:val="element-citation"/>
    <w:basedOn w:val="DefaultParagraphFont"/>
    <w:rsid w:val="00AA010D"/>
  </w:style>
  <w:style w:type="table" w:customStyle="1" w:styleId="TableGrid2">
    <w:name w:val="Table Grid2"/>
    <w:basedOn w:val="TableNormal"/>
    <w:next w:val="TableGrid"/>
    <w:uiPriority w:val="39"/>
    <w:rsid w:val="002A014F"/>
    <w:pPr>
      <w:spacing w:line="240" w:lineRule="auto"/>
      <w:ind w:left="0" w:firstLine="0"/>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A014F"/>
    <w:pPr>
      <w:spacing w:line="240" w:lineRule="auto"/>
      <w:ind w:left="0" w:firstLine="0"/>
      <w:jc w:val="left"/>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ot-block-node">
    <w:name w:val="root-block-node"/>
    <w:basedOn w:val="Normal"/>
    <w:rsid w:val="002A014F"/>
    <w:pPr>
      <w:spacing w:before="100" w:beforeAutospacing="1" w:after="100" w:afterAutospacing="1"/>
      <w:ind w:left="0" w:firstLine="0"/>
      <w:jc w:val="left"/>
    </w:pPr>
    <w:rPr>
      <w:color w:val="auto"/>
    </w:rPr>
  </w:style>
  <w:style w:type="character" w:customStyle="1" w:styleId="italic">
    <w:name w:val="italic"/>
    <w:basedOn w:val="DefaultParagraphFont"/>
    <w:rsid w:val="00C54D2A"/>
  </w:style>
  <w:style w:type="character" w:customStyle="1" w:styleId="apple-style-span">
    <w:name w:val="apple-style-span"/>
    <w:basedOn w:val="DefaultParagraphFont"/>
    <w:qFormat/>
    <w:rsid w:val="00C84D17"/>
  </w:style>
  <w:style w:type="character" w:customStyle="1" w:styleId="titleauthoretc">
    <w:name w:val="titleauthoretc"/>
    <w:basedOn w:val="DefaultParagraphFont"/>
    <w:rsid w:val="008F7164"/>
  </w:style>
  <w:style w:type="paragraph" w:customStyle="1" w:styleId="RMSBody">
    <w:name w:val="RMS Body"/>
    <w:basedOn w:val="NoSpacing"/>
    <w:link w:val="RMSBodyChar"/>
    <w:qFormat/>
    <w:rsid w:val="002237A2"/>
    <w:pPr>
      <w:ind w:left="0" w:firstLine="0"/>
    </w:pPr>
    <w:rPr>
      <w:noProof/>
      <w:color w:val="auto"/>
      <w:sz w:val="24"/>
      <w:szCs w:val="24"/>
    </w:rPr>
  </w:style>
  <w:style w:type="character" w:customStyle="1" w:styleId="RMSBodyChar">
    <w:name w:val="RMS Body Char"/>
    <w:basedOn w:val="NoSpacingChar"/>
    <w:link w:val="RMSBody"/>
    <w:rsid w:val="002237A2"/>
    <w:rPr>
      <w:rFonts w:ascii="Calibri" w:eastAsia="Calibri" w:hAnsi="Calibri" w:cs="Times New Roman"/>
      <w:noProof/>
      <w:color w:val="auto"/>
      <w:sz w:val="24"/>
      <w:szCs w:val="24"/>
    </w:rPr>
  </w:style>
  <w:style w:type="paragraph" w:customStyle="1" w:styleId="Els-body-text">
    <w:name w:val="Els-body-text"/>
    <w:link w:val="Els-body-textCarcter"/>
    <w:rsid w:val="00D4455D"/>
    <w:pPr>
      <w:spacing w:line="240" w:lineRule="exact"/>
      <w:ind w:left="0" w:firstLine="238"/>
    </w:pPr>
    <w:rPr>
      <w:rFonts w:eastAsia="SimSun"/>
      <w:color w:val="auto"/>
      <w:sz w:val="20"/>
      <w:szCs w:val="20"/>
    </w:rPr>
  </w:style>
  <w:style w:type="paragraph" w:customStyle="1" w:styleId="Els-appendixsubhead">
    <w:name w:val="Els-appendixsubhead"/>
    <w:next w:val="Normal"/>
    <w:rsid w:val="00D4455D"/>
    <w:pPr>
      <w:numPr>
        <w:ilvl w:val="1"/>
        <w:numId w:val="8"/>
      </w:numPr>
      <w:spacing w:before="240" w:after="240" w:line="220" w:lineRule="exact"/>
      <w:jc w:val="left"/>
    </w:pPr>
    <w:rPr>
      <w:rFonts w:eastAsia="SimSun"/>
      <w:i/>
      <w:color w:val="auto"/>
      <w:sz w:val="20"/>
      <w:szCs w:val="20"/>
    </w:rPr>
  </w:style>
  <w:style w:type="paragraph" w:customStyle="1" w:styleId="TitleUnumbered">
    <w:name w:val="TitleUnumbered"/>
    <w:basedOn w:val="Title"/>
    <w:link w:val="TitleUnumberedCarcter"/>
    <w:qFormat/>
    <w:rsid w:val="00D4455D"/>
    <w:pPr>
      <w:spacing w:before="240" w:after="240"/>
      <w:jc w:val="center"/>
      <w:outlineLvl w:val="0"/>
    </w:pPr>
    <w:rPr>
      <w:rFonts w:ascii="Times New Roman" w:eastAsia="Times New Roman" w:hAnsi="Times New Roman" w:cs="Times New Roman"/>
      <w:b/>
      <w:bCs/>
      <w:color w:val="auto"/>
      <w:spacing w:val="0"/>
      <w:sz w:val="24"/>
      <w:szCs w:val="32"/>
      <w:lang w:val="en-GB"/>
    </w:rPr>
  </w:style>
  <w:style w:type="paragraph" w:customStyle="1" w:styleId="Els-bulletlist">
    <w:name w:val="Els-bulletlist"/>
    <w:basedOn w:val="Els-body-text"/>
    <w:link w:val="Els-bulletlistCarcter"/>
    <w:rsid w:val="00D4455D"/>
    <w:pPr>
      <w:numPr>
        <w:numId w:val="9"/>
      </w:numPr>
      <w:tabs>
        <w:tab w:val="left" w:pos="240"/>
      </w:tabs>
      <w:jc w:val="left"/>
    </w:pPr>
  </w:style>
  <w:style w:type="character" w:customStyle="1" w:styleId="TitleUnumberedCarcter">
    <w:name w:val="TitleUnumbered Carácter"/>
    <w:link w:val="TitleUnumbered"/>
    <w:rsid w:val="00D4455D"/>
    <w:rPr>
      <w:rFonts w:eastAsia="Times New Roman"/>
      <w:b/>
      <w:bCs/>
      <w:color w:val="auto"/>
      <w:kern w:val="28"/>
      <w:sz w:val="24"/>
      <w:szCs w:val="32"/>
      <w:lang w:val="en-GB"/>
    </w:rPr>
  </w:style>
  <w:style w:type="paragraph" w:customStyle="1" w:styleId="Bullet">
    <w:name w:val="Bullet"/>
    <w:basedOn w:val="Els-bulletlist"/>
    <w:link w:val="BulletCarcter"/>
    <w:qFormat/>
    <w:rsid w:val="00D4455D"/>
    <w:pPr>
      <w:numPr>
        <w:numId w:val="10"/>
      </w:numPr>
      <w:tabs>
        <w:tab w:val="clear" w:pos="240"/>
        <w:tab w:val="clear" w:pos="360"/>
        <w:tab w:val="num" w:pos="567"/>
      </w:tabs>
      <w:spacing w:after="120"/>
      <w:ind w:left="426" w:hanging="142"/>
    </w:pPr>
  </w:style>
  <w:style w:type="paragraph" w:customStyle="1" w:styleId="Els-1storder-head">
    <w:name w:val="Els-1storder-head"/>
    <w:next w:val="Els-body-text"/>
    <w:rsid w:val="00D4455D"/>
    <w:pPr>
      <w:keepNext/>
      <w:numPr>
        <w:numId w:val="11"/>
      </w:numPr>
      <w:suppressAutoHyphens/>
      <w:spacing w:before="240" w:after="240" w:line="240" w:lineRule="exact"/>
      <w:jc w:val="left"/>
    </w:pPr>
    <w:rPr>
      <w:rFonts w:eastAsia="SimSun"/>
      <w:b/>
      <w:color w:val="auto"/>
      <w:sz w:val="20"/>
      <w:szCs w:val="20"/>
    </w:rPr>
  </w:style>
  <w:style w:type="character" w:customStyle="1" w:styleId="Els-body-textCarcter">
    <w:name w:val="Els-body-text Carácter"/>
    <w:link w:val="Els-body-text"/>
    <w:rsid w:val="00D4455D"/>
    <w:rPr>
      <w:rFonts w:eastAsia="SimSun"/>
      <w:color w:val="auto"/>
      <w:sz w:val="20"/>
      <w:szCs w:val="20"/>
    </w:rPr>
  </w:style>
  <w:style w:type="character" w:customStyle="1" w:styleId="Els-bulletlistCarcter">
    <w:name w:val="Els-bulletlist Carácter"/>
    <w:link w:val="Els-bulletlist"/>
    <w:rsid w:val="00D4455D"/>
    <w:rPr>
      <w:rFonts w:eastAsia="SimSun"/>
      <w:color w:val="auto"/>
      <w:sz w:val="20"/>
      <w:szCs w:val="20"/>
    </w:rPr>
  </w:style>
  <w:style w:type="character" w:customStyle="1" w:styleId="BulletCarcter">
    <w:name w:val="Bullet Carácter"/>
    <w:link w:val="Bullet"/>
    <w:rsid w:val="00D4455D"/>
    <w:rPr>
      <w:rFonts w:eastAsia="SimSun"/>
      <w:color w:val="auto"/>
      <w:sz w:val="20"/>
      <w:szCs w:val="20"/>
    </w:rPr>
  </w:style>
  <w:style w:type="paragraph" w:customStyle="1" w:styleId="Els-2ndorder-head">
    <w:name w:val="Els-2ndorder-head"/>
    <w:next w:val="Els-body-text"/>
    <w:rsid w:val="00D4455D"/>
    <w:pPr>
      <w:keepNext/>
      <w:numPr>
        <w:ilvl w:val="1"/>
        <w:numId w:val="11"/>
      </w:numPr>
      <w:suppressAutoHyphens/>
      <w:spacing w:before="240" w:after="240" w:line="240" w:lineRule="exact"/>
      <w:jc w:val="left"/>
    </w:pPr>
    <w:rPr>
      <w:rFonts w:eastAsia="SimSun"/>
      <w:i/>
      <w:color w:val="auto"/>
      <w:sz w:val="20"/>
      <w:szCs w:val="20"/>
    </w:rPr>
  </w:style>
  <w:style w:type="paragraph" w:customStyle="1" w:styleId="Els-3rdorder-head">
    <w:name w:val="Els-3rdorder-head"/>
    <w:next w:val="Els-body-text"/>
    <w:rsid w:val="00D4455D"/>
    <w:pPr>
      <w:keepNext/>
      <w:numPr>
        <w:ilvl w:val="2"/>
        <w:numId w:val="11"/>
      </w:numPr>
      <w:suppressAutoHyphens/>
      <w:spacing w:before="240" w:line="240" w:lineRule="exact"/>
      <w:jc w:val="left"/>
    </w:pPr>
    <w:rPr>
      <w:rFonts w:eastAsia="SimSun"/>
      <w:i/>
      <w:color w:val="auto"/>
      <w:sz w:val="20"/>
      <w:szCs w:val="20"/>
    </w:rPr>
  </w:style>
  <w:style w:type="paragraph" w:customStyle="1" w:styleId="Els-4thorder-head">
    <w:name w:val="Els-4thorder-head"/>
    <w:next w:val="Els-body-text"/>
    <w:rsid w:val="00D4455D"/>
    <w:pPr>
      <w:keepNext/>
      <w:numPr>
        <w:ilvl w:val="3"/>
        <w:numId w:val="11"/>
      </w:numPr>
      <w:suppressAutoHyphens/>
      <w:spacing w:before="240" w:line="240" w:lineRule="exact"/>
      <w:jc w:val="left"/>
    </w:pPr>
    <w:rPr>
      <w:rFonts w:eastAsia="SimSun"/>
      <w:i/>
      <w:color w:val="auto"/>
      <w:sz w:val="20"/>
      <w:szCs w:val="20"/>
    </w:rPr>
  </w:style>
  <w:style w:type="paragraph" w:customStyle="1" w:styleId="Els-caption">
    <w:name w:val="Els-caption"/>
    <w:rsid w:val="00D4455D"/>
    <w:pPr>
      <w:keepLines/>
      <w:spacing w:before="200" w:after="240" w:line="200" w:lineRule="exact"/>
      <w:ind w:left="0" w:firstLine="0"/>
      <w:jc w:val="left"/>
    </w:pPr>
    <w:rPr>
      <w:rFonts w:eastAsia="SimSun"/>
      <w:color w:val="auto"/>
      <w:szCs w:val="20"/>
    </w:rPr>
  </w:style>
  <w:style w:type="paragraph" w:customStyle="1" w:styleId="Els-table-text">
    <w:name w:val="Els-table-text"/>
    <w:rsid w:val="00D4455D"/>
    <w:pPr>
      <w:spacing w:after="80" w:line="200" w:lineRule="exact"/>
      <w:ind w:left="0" w:firstLine="0"/>
      <w:jc w:val="left"/>
    </w:pPr>
    <w:rPr>
      <w:rFonts w:eastAsia="SimSun"/>
      <w:color w:val="auto"/>
      <w:szCs w:val="20"/>
    </w:rPr>
  </w:style>
  <w:style w:type="paragraph" w:customStyle="1" w:styleId="TableLegend">
    <w:name w:val="TableLegend"/>
    <w:basedOn w:val="Els-body-text"/>
    <w:link w:val="TableLegendCarcter"/>
    <w:qFormat/>
    <w:rsid w:val="00D4455D"/>
    <w:pPr>
      <w:spacing w:after="120"/>
      <w:ind w:firstLine="0"/>
      <w:jc w:val="center"/>
    </w:pPr>
    <w:rPr>
      <w:sz w:val="16"/>
      <w:szCs w:val="16"/>
    </w:rPr>
  </w:style>
  <w:style w:type="paragraph" w:customStyle="1" w:styleId="FigureLegend">
    <w:name w:val="FigureLegend"/>
    <w:basedOn w:val="TableLegend"/>
    <w:link w:val="FigureLegendCarcter"/>
    <w:qFormat/>
    <w:rsid w:val="00D4455D"/>
  </w:style>
  <w:style w:type="character" w:customStyle="1" w:styleId="TableLegendCarcter">
    <w:name w:val="TableLegend Carácter"/>
    <w:link w:val="TableLegend"/>
    <w:rsid w:val="00D4455D"/>
    <w:rPr>
      <w:rFonts w:eastAsia="SimSun"/>
      <w:color w:val="auto"/>
    </w:rPr>
  </w:style>
  <w:style w:type="paragraph" w:customStyle="1" w:styleId="Figure">
    <w:name w:val="Figure"/>
    <w:basedOn w:val="Normal"/>
    <w:link w:val="FigureCarcter"/>
    <w:qFormat/>
    <w:rsid w:val="00D4455D"/>
    <w:pPr>
      <w:spacing w:after="120"/>
      <w:ind w:left="0" w:firstLine="0"/>
      <w:jc w:val="center"/>
    </w:pPr>
    <w:rPr>
      <w:rFonts w:eastAsia="Calibri"/>
      <w:color w:val="auto"/>
      <w:sz w:val="20"/>
      <w:szCs w:val="22"/>
      <w:lang w:val="en-GB"/>
    </w:rPr>
  </w:style>
  <w:style w:type="character" w:customStyle="1" w:styleId="FigureLegendCarcter">
    <w:name w:val="FigureLegend Carácter"/>
    <w:link w:val="FigureLegend"/>
    <w:rsid w:val="00D4455D"/>
    <w:rPr>
      <w:rFonts w:eastAsia="SimSun"/>
      <w:color w:val="auto"/>
    </w:rPr>
  </w:style>
  <w:style w:type="character" w:customStyle="1" w:styleId="FigureCarcter">
    <w:name w:val="Figure Carácter"/>
    <w:link w:val="Figure"/>
    <w:rsid w:val="00D4455D"/>
    <w:rPr>
      <w:rFonts w:eastAsia="Calibri"/>
      <w:color w:val="auto"/>
      <w:sz w:val="20"/>
      <w:szCs w:val="22"/>
      <w:lang w:val="en-GB"/>
    </w:rPr>
  </w:style>
  <w:style w:type="paragraph" w:customStyle="1" w:styleId="Pa1">
    <w:name w:val="Pa1"/>
    <w:basedOn w:val="Default"/>
    <w:next w:val="Default"/>
    <w:uiPriority w:val="99"/>
    <w:rsid w:val="00147101"/>
    <w:pPr>
      <w:spacing w:line="211" w:lineRule="atLeast"/>
      <w:ind w:left="0" w:firstLine="0"/>
      <w:jc w:val="left"/>
    </w:pPr>
    <w:rPr>
      <w:rFonts w:ascii="Roboto Light" w:eastAsiaTheme="minorHAnsi" w:hAnsi="Roboto Light" w:cstheme="minorBidi"/>
      <w:color w:val="auto"/>
    </w:rPr>
  </w:style>
  <w:style w:type="table" w:customStyle="1" w:styleId="Style1">
    <w:name w:val="Style1"/>
    <w:basedOn w:val="TableNormal"/>
    <w:uiPriority w:val="99"/>
    <w:qFormat/>
    <w:rsid w:val="00147101"/>
    <w:pPr>
      <w:spacing w:line="240" w:lineRule="auto"/>
      <w:ind w:left="0" w:firstLine="0"/>
      <w:jc w:val="left"/>
    </w:pPr>
    <w:rPr>
      <w:rFonts w:cstheme="minorBidi"/>
      <w:color w:val="auto"/>
      <w:sz w:val="22"/>
      <w:szCs w:val="22"/>
    </w:rPr>
    <w:tblPr/>
  </w:style>
  <w:style w:type="table" w:styleId="PlainTable5">
    <w:name w:val="Plain Table 5"/>
    <w:basedOn w:val="TableNormal"/>
    <w:uiPriority w:val="45"/>
    <w:rsid w:val="00147101"/>
    <w:pPr>
      <w:spacing w:line="240" w:lineRule="auto"/>
      <w:ind w:left="0" w:firstLine="0"/>
      <w:jc w:val="left"/>
    </w:pPr>
    <w:rPr>
      <w:rFonts w:asciiTheme="minorHAnsi" w:hAnsiTheme="minorHAnsi" w:cstheme="minorBidi"/>
      <w:color w:val="auto"/>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147101"/>
    <w:pPr>
      <w:spacing w:line="240" w:lineRule="auto"/>
      <w:ind w:left="0" w:firstLine="0"/>
      <w:jc w:val="left"/>
    </w:pPr>
    <w:rPr>
      <w:rFonts w:cstheme="minorBidi"/>
      <w:color w:val="auto"/>
      <w:sz w:val="24"/>
      <w:szCs w:val="22"/>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
    <w:name w:val="List Table 6 Colorful"/>
    <w:basedOn w:val="TableNormal"/>
    <w:uiPriority w:val="51"/>
    <w:rsid w:val="00147101"/>
    <w:pPr>
      <w:spacing w:line="240" w:lineRule="auto"/>
      <w:ind w:left="0" w:firstLine="0"/>
      <w:jc w:val="left"/>
    </w:pPr>
    <w:rPr>
      <w:rFonts w:asciiTheme="minorHAnsi" w:hAnsiTheme="minorHAnsi" w:cstheme="minorBidi"/>
      <w:color w:val="000000" w:themeColor="text1"/>
      <w:sz w:val="22"/>
      <w:szCs w:val="22"/>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147101"/>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ableofFigures">
    <w:name w:val="table of figures"/>
    <w:aliases w:val="List of Tables"/>
    <w:basedOn w:val="Normal"/>
    <w:next w:val="Normal"/>
    <w:uiPriority w:val="99"/>
    <w:unhideWhenUsed/>
    <w:qFormat/>
    <w:rsid w:val="00147101"/>
    <w:pPr>
      <w:spacing w:before="100" w:beforeAutospacing="1" w:after="100" w:afterAutospacing="1" w:line="480" w:lineRule="auto"/>
      <w:ind w:left="0" w:firstLine="0"/>
      <w:jc w:val="left"/>
    </w:pPr>
    <w:rPr>
      <w:rFonts w:eastAsiaTheme="minorHAnsi" w:cstheme="minorBidi"/>
      <w:color w:val="auto"/>
      <w:szCs w:val="22"/>
    </w:rPr>
  </w:style>
  <w:style w:type="character" w:customStyle="1" w:styleId="blue-underline">
    <w:name w:val="blue-underline"/>
    <w:basedOn w:val="DefaultParagraphFont"/>
    <w:rsid w:val="00B854BD"/>
  </w:style>
  <w:style w:type="character" w:customStyle="1" w:styleId="red-underline">
    <w:name w:val="red-underline"/>
    <w:basedOn w:val="DefaultParagraphFont"/>
    <w:rsid w:val="00B854BD"/>
  </w:style>
  <w:style w:type="paragraph" w:customStyle="1" w:styleId="Normal0">
    <w:name w:val="[Normal]"/>
    <w:uiPriority w:val="99"/>
    <w:qFormat/>
    <w:rsid w:val="000A6842"/>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ind w:left="0" w:firstLine="0"/>
      <w:jc w:val="left"/>
    </w:pPr>
    <w:rPr>
      <w:rFonts w:ascii="Arial" w:eastAsia="Arial" w:hAnsi="Arial"/>
      <w:color w:val="auto"/>
      <w:sz w:val="24"/>
      <w:szCs w:val="20"/>
      <w:lang w:val="en-MY" w:eastAsia="en-MY"/>
    </w:rPr>
  </w:style>
  <w:style w:type="numbering" w:customStyle="1" w:styleId="NoList1">
    <w:name w:val="No List1"/>
    <w:next w:val="NoList"/>
    <w:uiPriority w:val="99"/>
    <w:semiHidden/>
    <w:unhideWhenUsed/>
    <w:rsid w:val="000A6842"/>
  </w:style>
  <w:style w:type="paragraph" w:customStyle="1" w:styleId="ChapterTitle">
    <w:name w:val="Chapter Title"/>
    <w:basedOn w:val="Normal"/>
    <w:qFormat/>
    <w:rsid w:val="000A6842"/>
    <w:pPr>
      <w:spacing w:before="1418" w:after="1440" w:line="360" w:lineRule="auto"/>
      <w:ind w:left="0" w:firstLine="0"/>
      <w:jc w:val="center"/>
    </w:pPr>
    <w:rPr>
      <w:color w:val="auto"/>
      <w:szCs w:val="20"/>
      <w:lang w:val="en-MY" w:eastAsia="en-MY"/>
    </w:rPr>
  </w:style>
  <w:style w:type="paragraph" w:customStyle="1" w:styleId="Para">
    <w:name w:val="Para"/>
    <w:basedOn w:val="BodyText"/>
    <w:qFormat/>
    <w:rsid w:val="000A6842"/>
    <w:pPr>
      <w:spacing w:after="720" w:line="360" w:lineRule="auto"/>
      <w:ind w:left="0" w:firstLine="720"/>
      <w:jc w:val="left"/>
    </w:pPr>
    <w:rPr>
      <w:color w:val="auto"/>
      <w:szCs w:val="20"/>
      <w:lang w:val="en-MY" w:eastAsia="en-MY"/>
    </w:rPr>
  </w:style>
  <w:style w:type="paragraph" w:customStyle="1" w:styleId="Subnumbers">
    <w:name w:val="Subnumbers"/>
    <w:basedOn w:val="Para"/>
    <w:qFormat/>
    <w:rsid w:val="000A6842"/>
    <w:pPr>
      <w:numPr>
        <w:numId w:val="12"/>
      </w:numPr>
      <w:tabs>
        <w:tab w:val="left" w:pos="1440"/>
      </w:tabs>
      <w:spacing w:after="0"/>
    </w:pPr>
  </w:style>
  <w:style w:type="paragraph" w:customStyle="1" w:styleId="FigureStyle">
    <w:name w:val="Figure Style"/>
    <w:basedOn w:val="Para"/>
    <w:qFormat/>
    <w:rsid w:val="000A6842"/>
    <w:pPr>
      <w:jc w:val="center"/>
    </w:pPr>
  </w:style>
  <w:style w:type="paragraph" w:customStyle="1" w:styleId="Authors">
    <w:name w:val="Authors"/>
    <w:basedOn w:val="Normal"/>
    <w:next w:val="ListParagraph"/>
    <w:qFormat/>
    <w:rsid w:val="000A6842"/>
    <w:pPr>
      <w:spacing w:after="320" w:line="276" w:lineRule="auto"/>
      <w:ind w:left="0" w:firstLine="0"/>
      <w:jc w:val="center"/>
    </w:pPr>
    <w:rPr>
      <w:color w:val="auto"/>
      <w:sz w:val="22"/>
      <w:szCs w:val="20"/>
      <w:lang w:val="en-MY" w:eastAsia="en-MY"/>
    </w:rPr>
  </w:style>
  <w:style w:type="paragraph" w:customStyle="1" w:styleId="bulletlist">
    <w:name w:val="bullet list"/>
    <w:basedOn w:val="Normal"/>
    <w:qFormat/>
    <w:rsid w:val="000A6842"/>
    <w:pPr>
      <w:numPr>
        <w:numId w:val="13"/>
      </w:numPr>
      <w:tabs>
        <w:tab w:val="left" w:pos="648"/>
        <w:tab w:val="left" w:pos="720"/>
      </w:tabs>
      <w:spacing w:after="120" w:line="228" w:lineRule="auto"/>
      <w:jc w:val="left"/>
    </w:pPr>
    <w:rPr>
      <w:color w:val="auto"/>
      <w:sz w:val="20"/>
      <w:szCs w:val="20"/>
      <w:lang w:val="en-MY" w:eastAsia="en-MY"/>
    </w:rPr>
  </w:style>
  <w:style w:type="paragraph" w:styleId="TOC4">
    <w:name w:val="toc 4"/>
    <w:basedOn w:val="Normal"/>
    <w:next w:val="ListParagraph"/>
    <w:uiPriority w:val="39"/>
    <w:qFormat/>
    <w:rsid w:val="000A6842"/>
    <w:pPr>
      <w:tabs>
        <w:tab w:val="left" w:pos="1680"/>
        <w:tab w:val="left" w:pos="3550"/>
        <w:tab w:val="right" w:pos="7655"/>
      </w:tabs>
      <w:spacing w:after="200" w:line="360" w:lineRule="auto"/>
      <w:ind w:left="3550" w:hanging="851"/>
      <w:jc w:val="left"/>
    </w:pPr>
    <w:rPr>
      <w:color w:val="auto"/>
      <w:szCs w:val="20"/>
      <w:lang w:val="en-MY" w:eastAsia="en-MY"/>
    </w:rPr>
  </w:style>
  <w:style w:type="paragraph" w:styleId="Date">
    <w:name w:val="Date"/>
    <w:basedOn w:val="Normal"/>
    <w:next w:val="ListParagraph"/>
    <w:link w:val="DateChar"/>
    <w:qFormat/>
    <w:rsid w:val="000A6842"/>
    <w:pPr>
      <w:spacing w:after="200" w:line="276" w:lineRule="auto"/>
      <w:ind w:left="0" w:firstLine="0"/>
      <w:jc w:val="left"/>
    </w:pPr>
    <w:rPr>
      <w:color w:val="auto"/>
      <w:szCs w:val="20"/>
      <w:lang w:val="en-MY" w:eastAsia="en-MY"/>
    </w:rPr>
  </w:style>
  <w:style w:type="character" w:customStyle="1" w:styleId="DateChar">
    <w:name w:val="Date Char"/>
    <w:basedOn w:val="DefaultParagraphFont"/>
    <w:link w:val="Date"/>
    <w:qFormat/>
    <w:rsid w:val="000A6842"/>
    <w:rPr>
      <w:rFonts w:eastAsia="Times New Roman"/>
      <w:color w:val="auto"/>
      <w:sz w:val="24"/>
      <w:szCs w:val="20"/>
      <w:lang w:val="en-MY" w:eastAsia="en-MY"/>
    </w:rPr>
  </w:style>
  <w:style w:type="paragraph" w:customStyle="1" w:styleId="sectionhead1">
    <w:name w:val="section head (1)"/>
    <w:basedOn w:val="Normal"/>
    <w:qFormat/>
    <w:rsid w:val="000A6842"/>
    <w:pPr>
      <w:numPr>
        <w:numId w:val="14"/>
      </w:numPr>
      <w:tabs>
        <w:tab w:val="left" w:pos="720"/>
      </w:tabs>
      <w:spacing w:before="120" w:after="120" w:line="216" w:lineRule="auto"/>
      <w:jc w:val="center"/>
    </w:pPr>
    <w:rPr>
      <w:color w:val="auto"/>
      <w:sz w:val="20"/>
      <w:szCs w:val="20"/>
      <w:lang w:val="en-MY" w:eastAsia="en-MY"/>
    </w:rPr>
  </w:style>
  <w:style w:type="paragraph" w:customStyle="1" w:styleId="Text">
    <w:name w:val="Text"/>
    <w:basedOn w:val="Normal"/>
    <w:qFormat/>
    <w:rsid w:val="000A6842"/>
    <w:pPr>
      <w:spacing w:after="200" w:line="252" w:lineRule="auto"/>
      <w:ind w:left="0" w:firstLine="240"/>
      <w:jc w:val="left"/>
    </w:pPr>
    <w:rPr>
      <w:color w:val="auto"/>
      <w:sz w:val="20"/>
      <w:szCs w:val="20"/>
      <w:lang w:val="en-MY" w:eastAsia="en-MY"/>
    </w:rPr>
  </w:style>
  <w:style w:type="paragraph" w:styleId="TOC5">
    <w:name w:val="toc 5"/>
    <w:basedOn w:val="Normal"/>
    <w:next w:val="ListParagraph"/>
    <w:uiPriority w:val="39"/>
    <w:qFormat/>
    <w:rsid w:val="000A6842"/>
    <w:pPr>
      <w:tabs>
        <w:tab w:val="left" w:pos="1440"/>
        <w:tab w:val="left" w:pos="3928"/>
        <w:tab w:val="right" w:pos="7655"/>
      </w:tabs>
      <w:spacing w:after="200" w:line="360" w:lineRule="auto"/>
      <w:ind w:left="3833"/>
      <w:jc w:val="left"/>
    </w:pPr>
    <w:rPr>
      <w:rFonts w:ascii="Calibri" w:eastAsia="Calibri" w:hAnsi="Calibri"/>
      <w:color w:val="auto"/>
      <w:sz w:val="20"/>
      <w:szCs w:val="20"/>
      <w:lang w:val="en-MY" w:eastAsia="en-MY"/>
    </w:rPr>
  </w:style>
  <w:style w:type="paragraph" w:styleId="TOC6">
    <w:name w:val="toc 6"/>
    <w:basedOn w:val="Normal"/>
    <w:next w:val="ListParagraph"/>
    <w:uiPriority w:val="39"/>
    <w:qFormat/>
    <w:rsid w:val="000A6842"/>
    <w:pPr>
      <w:spacing w:after="200" w:line="276" w:lineRule="auto"/>
      <w:ind w:left="1200" w:firstLine="0"/>
      <w:jc w:val="left"/>
    </w:pPr>
    <w:rPr>
      <w:rFonts w:ascii="Calibri" w:eastAsia="Calibri" w:hAnsi="Calibri"/>
      <w:color w:val="auto"/>
      <w:sz w:val="20"/>
      <w:szCs w:val="20"/>
      <w:lang w:val="en-MY" w:eastAsia="en-MY"/>
    </w:rPr>
  </w:style>
  <w:style w:type="paragraph" w:styleId="TOC7">
    <w:name w:val="toc 7"/>
    <w:basedOn w:val="Normal"/>
    <w:next w:val="ListParagraph"/>
    <w:uiPriority w:val="39"/>
    <w:qFormat/>
    <w:rsid w:val="000A6842"/>
    <w:pPr>
      <w:spacing w:after="200" w:line="276" w:lineRule="auto"/>
      <w:ind w:left="1440" w:firstLine="0"/>
      <w:jc w:val="left"/>
    </w:pPr>
    <w:rPr>
      <w:rFonts w:ascii="Calibri" w:eastAsia="Calibri" w:hAnsi="Calibri"/>
      <w:color w:val="auto"/>
      <w:sz w:val="20"/>
      <w:szCs w:val="20"/>
      <w:lang w:val="en-MY" w:eastAsia="en-MY"/>
    </w:rPr>
  </w:style>
  <w:style w:type="paragraph" w:styleId="TOC8">
    <w:name w:val="toc 8"/>
    <w:basedOn w:val="Normal"/>
    <w:next w:val="ListParagraph"/>
    <w:uiPriority w:val="39"/>
    <w:qFormat/>
    <w:rsid w:val="000A6842"/>
    <w:pPr>
      <w:spacing w:after="200" w:line="276" w:lineRule="auto"/>
      <w:ind w:left="1680" w:firstLine="0"/>
      <w:jc w:val="left"/>
    </w:pPr>
    <w:rPr>
      <w:rFonts w:ascii="Calibri" w:eastAsia="Calibri" w:hAnsi="Calibri"/>
      <w:color w:val="auto"/>
      <w:sz w:val="20"/>
      <w:szCs w:val="20"/>
      <w:lang w:val="en-MY" w:eastAsia="en-MY"/>
    </w:rPr>
  </w:style>
  <w:style w:type="paragraph" w:styleId="TOC9">
    <w:name w:val="toc 9"/>
    <w:basedOn w:val="Normal"/>
    <w:next w:val="ListParagraph"/>
    <w:uiPriority w:val="39"/>
    <w:qFormat/>
    <w:rsid w:val="000A6842"/>
    <w:pPr>
      <w:spacing w:after="200" w:line="276" w:lineRule="auto"/>
      <w:ind w:left="1920" w:firstLine="0"/>
      <w:jc w:val="left"/>
    </w:pPr>
    <w:rPr>
      <w:rFonts w:ascii="Calibri" w:eastAsia="Calibri" w:hAnsi="Calibri"/>
      <w:color w:val="auto"/>
      <w:sz w:val="20"/>
      <w:szCs w:val="20"/>
      <w:lang w:val="en-MY" w:eastAsia="en-MY"/>
    </w:rPr>
  </w:style>
  <w:style w:type="paragraph" w:customStyle="1" w:styleId="FigureCaption">
    <w:name w:val="Figure Caption"/>
    <w:basedOn w:val="Normal"/>
    <w:qFormat/>
    <w:rsid w:val="000A6842"/>
    <w:pPr>
      <w:spacing w:after="200" w:line="276" w:lineRule="auto"/>
      <w:ind w:left="0" w:firstLine="0"/>
      <w:jc w:val="left"/>
    </w:pPr>
    <w:rPr>
      <w:color w:val="auto"/>
      <w:sz w:val="16"/>
      <w:szCs w:val="20"/>
      <w:lang w:val="en-MY" w:eastAsia="en-MY"/>
    </w:rPr>
  </w:style>
  <w:style w:type="paragraph" w:styleId="DocumentMap">
    <w:name w:val="Document Map"/>
    <w:basedOn w:val="Normal"/>
    <w:link w:val="DocumentMapChar"/>
    <w:uiPriority w:val="99"/>
    <w:qFormat/>
    <w:rsid w:val="000A6842"/>
    <w:pPr>
      <w:spacing w:after="200" w:line="276" w:lineRule="auto"/>
      <w:ind w:left="0" w:firstLine="0"/>
      <w:jc w:val="left"/>
    </w:pPr>
    <w:rPr>
      <w:rFonts w:ascii="Tahoma" w:eastAsia="Tahoma" w:hAnsi="Tahoma"/>
      <w:color w:val="auto"/>
      <w:sz w:val="16"/>
      <w:szCs w:val="20"/>
      <w:lang w:val="en-MY" w:eastAsia="en-MY"/>
    </w:rPr>
  </w:style>
  <w:style w:type="character" w:customStyle="1" w:styleId="DocumentMapChar">
    <w:name w:val="Document Map Char"/>
    <w:basedOn w:val="DefaultParagraphFont"/>
    <w:link w:val="DocumentMap"/>
    <w:uiPriority w:val="99"/>
    <w:qFormat/>
    <w:rsid w:val="000A6842"/>
    <w:rPr>
      <w:rFonts w:ascii="Tahoma" w:eastAsia="Tahoma" w:hAnsi="Tahoma"/>
      <w:color w:val="auto"/>
      <w:szCs w:val="20"/>
      <w:lang w:val="en-MY" w:eastAsia="en-MY"/>
    </w:rPr>
  </w:style>
  <w:style w:type="paragraph" w:customStyle="1" w:styleId="ChapterNo">
    <w:name w:val="ChapterNo"/>
    <w:basedOn w:val="Normal"/>
    <w:qFormat/>
    <w:rsid w:val="000A6842"/>
    <w:pPr>
      <w:spacing w:before="1560" w:after="960" w:line="360" w:lineRule="auto"/>
      <w:ind w:left="0" w:firstLine="0"/>
      <w:jc w:val="center"/>
    </w:pPr>
    <w:rPr>
      <w:b/>
      <w:color w:val="auto"/>
      <w:szCs w:val="20"/>
      <w:lang w:val="en-MY" w:eastAsia="en-MY"/>
    </w:rPr>
  </w:style>
  <w:style w:type="paragraph" w:customStyle="1" w:styleId="ChapterNumber">
    <w:name w:val="ChapterNumber"/>
    <w:basedOn w:val="ChapterNo"/>
    <w:qFormat/>
    <w:rsid w:val="000A6842"/>
  </w:style>
  <w:style w:type="paragraph" w:customStyle="1" w:styleId="NormalUTM2LineAfter">
    <w:name w:val="NormalUTM2LineAfter"/>
    <w:basedOn w:val="Normal"/>
    <w:qFormat/>
    <w:rsid w:val="000A6842"/>
    <w:pPr>
      <w:spacing w:after="480" w:line="360" w:lineRule="auto"/>
      <w:ind w:left="0" w:firstLine="720"/>
    </w:pPr>
    <w:rPr>
      <w:color w:val="auto"/>
      <w:szCs w:val="20"/>
      <w:lang w:val="en-MY" w:eastAsia="en-MY"/>
    </w:rPr>
  </w:style>
  <w:style w:type="paragraph" w:customStyle="1" w:styleId="NormalUTM4LineAfter">
    <w:name w:val="NormalUTM4LineAfter"/>
    <w:basedOn w:val="NormalUTM2LineAfter"/>
    <w:qFormat/>
    <w:rsid w:val="000A6842"/>
    <w:pPr>
      <w:spacing w:after="960"/>
    </w:pPr>
  </w:style>
  <w:style w:type="paragraph" w:styleId="PlainText">
    <w:name w:val="Plain Text"/>
    <w:basedOn w:val="Normal"/>
    <w:link w:val="PlainTextChar"/>
    <w:uiPriority w:val="99"/>
    <w:qFormat/>
    <w:rsid w:val="000A6842"/>
    <w:pPr>
      <w:spacing w:line="240" w:lineRule="atLeast"/>
      <w:ind w:left="0" w:firstLine="0"/>
      <w:jc w:val="left"/>
    </w:pPr>
    <w:rPr>
      <w:rFonts w:ascii="Consolas" w:eastAsia="Consolas" w:hAnsi="Consolas"/>
      <w:color w:val="auto"/>
      <w:sz w:val="21"/>
      <w:szCs w:val="20"/>
      <w:lang w:val="en-MY" w:eastAsia="en-MY"/>
    </w:rPr>
  </w:style>
  <w:style w:type="character" w:customStyle="1" w:styleId="PlainTextChar">
    <w:name w:val="Plain Text Char"/>
    <w:basedOn w:val="DefaultParagraphFont"/>
    <w:link w:val="PlainText"/>
    <w:uiPriority w:val="99"/>
    <w:qFormat/>
    <w:rsid w:val="000A6842"/>
    <w:rPr>
      <w:rFonts w:ascii="Consolas" w:eastAsia="Consolas" w:hAnsi="Consolas"/>
      <w:color w:val="auto"/>
      <w:sz w:val="21"/>
      <w:szCs w:val="20"/>
      <w:lang w:val="en-MY" w:eastAsia="en-MY"/>
    </w:rPr>
  </w:style>
  <w:style w:type="character" w:customStyle="1" w:styleId="BodyTextIndentChar1">
    <w:name w:val="Body Text Indent Char1"/>
    <w:uiPriority w:val="99"/>
    <w:qFormat/>
    <w:rsid w:val="000A6842"/>
  </w:style>
  <w:style w:type="character" w:customStyle="1" w:styleId="ChapterTitleChar">
    <w:name w:val="Chapter Title Char"/>
    <w:qFormat/>
    <w:rsid w:val="000A6842"/>
    <w:rPr>
      <w:rFonts w:ascii="Times New Roman" w:eastAsia="Times New Roman" w:hAnsi="Times New Roman"/>
      <w:sz w:val="24"/>
    </w:rPr>
  </w:style>
  <w:style w:type="character" w:customStyle="1" w:styleId="ParaChar">
    <w:name w:val="Para Char"/>
    <w:qFormat/>
    <w:rsid w:val="000A6842"/>
    <w:rPr>
      <w:rFonts w:ascii="Times New Roman" w:eastAsia="Times New Roman" w:hAnsi="Times New Roman"/>
      <w:sz w:val="24"/>
    </w:rPr>
  </w:style>
  <w:style w:type="character" w:customStyle="1" w:styleId="SubnumbersChar">
    <w:name w:val="Subnumbers Char"/>
    <w:qFormat/>
    <w:rsid w:val="000A6842"/>
    <w:rPr>
      <w:rFonts w:ascii="Times New Roman" w:eastAsia="Times New Roman" w:hAnsi="Times New Roman"/>
      <w:sz w:val="24"/>
    </w:rPr>
  </w:style>
  <w:style w:type="character" w:customStyle="1" w:styleId="EndnoteCharacters">
    <w:name w:val="Endnote Characters"/>
    <w:qFormat/>
    <w:rsid w:val="000A6842"/>
  </w:style>
  <w:style w:type="character" w:customStyle="1" w:styleId="FigureStyleChar">
    <w:name w:val="Figure Style Char"/>
    <w:qFormat/>
    <w:rsid w:val="000A6842"/>
  </w:style>
  <w:style w:type="character" w:customStyle="1" w:styleId="verdana1">
    <w:name w:val="verdana1"/>
    <w:qFormat/>
    <w:rsid w:val="000A6842"/>
    <w:rPr>
      <w:rFonts w:ascii="Verdana" w:eastAsia="Verdana" w:hAnsi="Verdana"/>
      <w:sz w:val="18"/>
    </w:rPr>
  </w:style>
  <w:style w:type="character" w:customStyle="1" w:styleId="snippet">
    <w:name w:val="snippet"/>
    <w:qFormat/>
    <w:rsid w:val="000A6842"/>
  </w:style>
  <w:style w:type="character" w:customStyle="1" w:styleId="snippet1">
    <w:name w:val="snippet1"/>
    <w:qFormat/>
    <w:rsid w:val="000A6842"/>
    <w:rPr>
      <w:color w:val="E37222"/>
    </w:rPr>
  </w:style>
  <w:style w:type="character" w:customStyle="1" w:styleId="thread-subject">
    <w:name w:val="thread-subject"/>
    <w:qFormat/>
    <w:rsid w:val="000A6842"/>
  </w:style>
  <w:style w:type="character" w:customStyle="1" w:styleId="summary">
    <w:name w:val="summary"/>
    <w:qFormat/>
    <w:rsid w:val="000A6842"/>
  </w:style>
  <w:style w:type="character" w:customStyle="1" w:styleId="null">
    <w:name w:val="null"/>
    <w:qFormat/>
    <w:rsid w:val="000A6842"/>
  </w:style>
  <w:style w:type="character" w:customStyle="1" w:styleId="from">
    <w:name w:val="from"/>
    <w:qFormat/>
    <w:rsid w:val="000A6842"/>
  </w:style>
  <w:style w:type="character" w:customStyle="1" w:styleId="thread-snippet">
    <w:name w:val="thread-snippet"/>
    <w:qFormat/>
    <w:rsid w:val="000A6842"/>
  </w:style>
  <w:style w:type="character" w:customStyle="1" w:styleId="thread-date">
    <w:name w:val="thread-date"/>
    <w:qFormat/>
    <w:rsid w:val="000A6842"/>
  </w:style>
  <w:style w:type="character" w:customStyle="1" w:styleId="short">
    <w:name w:val="short"/>
    <w:qFormat/>
    <w:rsid w:val="000A6842"/>
  </w:style>
  <w:style w:type="character" w:customStyle="1" w:styleId="ampm">
    <w:name w:val="ampm"/>
    <w:qFormat/>
    <w:rsid w:val="000A6842"/>
  </w:style>
  <w:style w:type="character" w:customStyle="1" w:styleId="to">
    <w:name w:val="to"/>
    <w:qFormat/>
    <w:rsid w:val="000A6842"/>
  </w:style>
  <w:style w:type="character" w:customStyle="1" w:styleId="lozengfy">
    <w:name w:val="lozengfy"/>
    <w:qFormat/>
    <w:rsid w:val="000A6842"/>
  </w:style>
  <w:style w:type="character" w:customStyle="1" w:styleId="hps">
    <w:name w:val="hps"/>
    <w:qFormat/>
    <w:rsid w:val="000A6842"/>
  </w:style>
  <w:style w:type="character" w:customStyle="1" w:styleId="def">
    <w:name w:val="def"/>
    <w:qFormat/>
    <w:rsid w:val="000A6842"/>
  </w:style>
  <w:style w:type="numbering" w:customStyle="1" w:styleId="NoList2">
    <w:name w:val="No List2"/>
    <w:next w:val="NoList"/>
    <w:uiPriority w:val="99"/>
    <w:semiHidden/>
    <w:unhideWhenUsed/>
    <w:rsid w:val="000A6842"/>
  </w:style>
  <w:style w:type="numbering" w:customStyle="1" w:styleId="NoList11">
    <w:name w:val="No List11"/>
    <w:next w:val="NoList"/>
    <w:uiPriority w:val="99"/>
    <w:semiHidden/>
    <w:unhideWhenUsed/>
    <w:rsid w:val="000A6842"/>
  </w:style>
  <w:style w:type="table" w:customStyle="1" w:styleId="TableGrid31">
    <w:name w:val="Table Grid31"/>
    <w:basedOn w:val="TableNormal"/>
    <w:uiPriority w:val="59"/>
    <w:rsid w:val="000A6842"/>
    <w:pPr>
      <w:spacing w:line="240" w:lineRule="auto"/>
      <w:ind w:left="0" w:firstLine="0"/>
      <w:jc w:val="left"/>
    </w:pPr>
    <w:rPr>
      <w:rFonts w:eastAsia="Calibr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A6842"/>
  </w:style>
  <w:style w:type="table" w:styleId="LightShading-Accent3">
    <w:name w:val="Light Shading Accent 3"/>
    <w:basedOn w:val="TableNormal"/>
    <w:uiPriority w:val="60"/>
    <w:rsid w:val="000A6842"/>
    <w:pPr>
      <w:spacing w:line="240" w:lineRule="auto"/>
      <w:ind w:left="0" w:firstLine="0"/>
      <w:jc w:val="left"/>
    </w:pPr>
    <w:rPr>
      <w:rFonts w:ascii="Calibri" w:eastAsia="Calibri" w:hAnsi="Calibri"/>
      <w:color w:val="76923C"/>
      <w:sz w:val="20"/>
      <w:szCs w:val="20"/>
      <w:lang w:val="en-MY" w:eastAsia="en-MY"/>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5">
    <w:name w:val="Light Shading Accent 5"/>
    <w:basedOn w:val="TableNormal"/>
    <w:uiPriority w:val="60"/>
    <w:rsid w:val="000A6842"/>
    <w:pPr>
      <w:spacing w:line="240" w:lineRule="auto"/>
      <w:ind w:left="0" w:firstLine="0"/>
      <w:jc w:val="left"/>
    </w:pPr>
    <w:rPr>
      <w:rFonts w:ascii="Calibri" w:eastAsia="Calibri" w:hAnsi="Calibri"/>
      <w:color w:val="31849B"/>
      <w:sz w:val="20"/>
      <w:szCs w:val="20"/>
      <w:lang w:val="en-MY" w:eastAsia="en-MY"/>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numbering" w:customStyle="1" w:styleId="Style2">
    <w:name w:val="Style2"/>
    <w:uiPriority w:val="99"/>
    <w:rsid w:val="000A6842"/>
    <w:pPr>
      <w:numPr>
        <w:numId w:val="15"/>
      </w:numPr>
    </w:pPr>
  </w:style>
  <w:style w:type="numbering" w:customStyle="1" w:styleId="Style3">
    <w:name w:val="Style3"/>
    <w:uiPriority w:val="99"/>
    <w:rsid w:val="000A6842"/>
    <w:pPr>
      <w:numPr>
        <w:numId w:val="16"/>
      </w:numPr>
    </w:pPr>
  </w:style>
  <w:style w:type="table" w:customStyle="1" w:styleId="TableGrid5">
    <w:name w:val="Table Grid5"/>
    <w:basedOn w:val="TableNormal"/>
    <w:next w:val="TableGrid"/>
    <w:uiPriority w:val="39"/>
    <w:rsid w:val="000A6842"/>
    <w:pPr>
      <w:spacing w:line="240" w:lineRule="auto"/>
      <w:ind w:left="0" w:firstLine="0"/>
      <w:jc w:val="left"/>
    </w:pPr>
    <w:rPr>
      <w:rFonts w:asciiTheme="minorHAnsi" w:hAnsiTheme="minorHAnsi" w:cstheme="minorBidi"/>
      <w:color w:val="auto"/>
      <w:sz w:val="22"/>
      <w:szCs w:val="22"/>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ultname">
    <w:name w:val="resultname"/>
    <w:basedOn w:val="DefaultParagraphFont"/>
    <w:rsid w:val="000A6842"/>
  </w:style>
  <w:style w:type="character" w:customStyle="1" w:styleId="result">
    <w:name w:val="result"/>
    <w:basedOn w:val="DefaultParagraphFont"/>
    <w:rsid w:val="000A6842"/>
  </w:style>
  <w:style w:type="character" w:customStyle="1" w:styleId="fc2">
    <w:name w:val="fc2"/>
    <w:basedOn w:val="DefaultParagraphFont"/>
    <w:rsid w:val="009E1999"/>
  </w:style>
  <w:style w:type="character" w:customStyle="1" w:styleId="ws11">
    <w:name w:val="ws11"/>
    <w:basedOn w:val="DefaultParagraphFont"/>
    <w:rsid w:val="009E1999"/>
  </w:style>
  <w:style w:type="character" w:customStyle="1" w:styleId="ws5">
    <w:name w:val="ws5"/>
    <w:basedOn w:val="DefaultParagraphFont"/>
    <w:rsid w:val="009E1999"/>
  </w:style>
  <w:style w:type="table" w:customStyle="1" w:styleId="LightGrid1">
    <w:name w:val="Light Grid1"/>
    <w:basedOn w:val="TableNormal"/>
    <w:uiPriority w:val="62"/>
    <w:rsid w:val="008D1382"/>
    <w:pPr>
      <w:spacing w:line="240" w:lineRule="auto"/>
      <w:ind w:left="0" w:firstLine="0"/>
      <w:jc w:val="left"/>
    </w:pPr>
    <w:rPr>
      <w:rFonts w:ascii="Calibri" w:eastAsia="Calibri" w:hAnsi="Calibri" w:cs="Arial"/>
      <w:color w:val="auto"/>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Noto Sans" w:eastAsia="Times New Roman" w:hAnsi="Noto San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Noto Sans" w:eastAsia="Times New Roman" w:hAnsi="Noto San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Noto Sans" w:eastAsia="Times New Roman" w:hAnsi="Noto Sans" w:cs="Times New Roman"/>
        <w:b/>
        <w:bCs/>
      </w:rPr>
    </w:tblStylePr>
    <w:tblStylePr w:type="lastCol">
      <w:rPr>
        <w:rFonts w:ascii="Noto Sans" w:eastAsia="Times New Roman" w:hAnsi="Noto San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text0">
    <w:name w:val="text"/>
    <w:rsid w:val="008D1382"/>
  </w:style>
  <w:style w:type="table" w:customStyle="1" w:styleId="TableGrid0">
    <w:name w:val="TableGrid"/>
    <w:rsid w:val="00C926C5"/>
    <w:pPr>
      <w:spacing w:line="240" w:lineRule="auto"/>
      <w:ind w:left="0" w:firstLine="0"/>
      <w:jc w:val="left"/>
    </w:pPr>
    <w:rPr>
      <w:rFonts w:asciiTheme="minorHAnsi" w:eastAsiaTheme="minorEastAsia" w:hAnsiTheme="minorHAnsi" w:cstheme="minorBidi"/>
      <w:color w:val="auto"/>
      <w:sz w:val="22"/>
      <w:szCs w:val="22"/>
    </w:rPr>
    <w:tblPr>
      <w:tblCellMar>
        <w:top w:w="0" w:type="dxa"/>
        <w:left w:w="0" w:type="dxa"/>
        <w:bottom w:w="0" w:type="dxa"/>
        <w:right w:w="0" w:type="dxa"/>
      </w:tblCellMar>
    </w:tblPr>
  </w:style>
  <w:style w:type="paragraph" w:customStyle="1" w:styleId="ListParagraph1">
    <w:name w:val="List Paragraph1"/>
    <w:basedOn w:val="Normal"/>
    <w:uiPriority w:val="34"/>
    <w:qFormat/>
    <w:rsid w:val="00944CF2"/>
    <w:pPr>
      <w:spacing w:after="160" w:line="256" w:lineRule="auto"/>
      <w:ind w:left="720" w:firstLine="0"/>
      <w:contextualSpacing/>
      <w:jc w:val="left"/>
    </w:pPr>
    <w:rPr>
      <w:rFonts w:asciiTheme="minorHAnsi" w:eastAsiaTheme="minorHAnsi" w:hAnsiTheme="minorHAnsi" w:cstheme="minorBidi"/>
      <w:color w:val="auto"/>
      <w:sz w:val="22"/>
      <w:szCs w:val="22"/>
    </w:rPr>
  </w:style>
  <w:style w:type="paragraph" w:customStyle="1" w:styleId="Khalil">
    <w:name w:val="Khalil"/>
    <w:basedOn w:val="Normal"/>
    <w:qFormat/>
    <w:rsid w:val="00A60956"/>
    <w:pPr>
      <w:ind w:left="0" w:firstLine="0"/>
    </w:pPr>
    <w:rPr>
      <w:noProof/>
      <w:color w:val="auto"/>
      <w:lang w:eastAsia="en-GB"/>
    </w:rPr>
  </w:style>
  <w:style w:type="character" w:customStyle="1" w:styleId="anchor-tag-fix">
    <w:name w:val="anchor-tag-fix"/>
    <w:basedOn w:val="DefaultParagraphFont"/>
    <w:rsid w:val="009A5B0E"/>
  </w:style>
  <w:style w:type="character" w:customStyle="1" w:styleId="word">
    <w:name w:val="word"/>
    <w:basedOn w:val="DefaultParagraphFont"/>
    <w:rsid w:val="00286C5B"/>
  </w:style>
  <w:style w:type="paragraph" w:customStyle="1" w:styleId="EndNoteCategoryHeading">
    <w:name w:val="EndNote Category Heading"/>
    <w:basedOn w:val="Normal"/>
    <w:link w:val="EndNoteCategoryHeadingChar"/>
    <w:rsid w:val="00286C5B"/>
    <w:pPr>
      <w:spacing w:before="120" w:after="120" w:line="276" w:lineRule="auto"/>
      <w:ind w:left="0" w:firstLine="0"/>
      <w:jc w:val="left"/>
    </w:pPr>
    <w:rPr>
      <w:rFonts w:asciiTheme="minorHAnsi" w:eastAsiaTheme="minorHAnsi" w:hAnsiTheme="minorHAnsi" w:cstheme="minorBidi"/>
      <w:b/>
      <w:noProof/>
      <w:color w:val="auto"/>
      <w:sz w:val="22"/>
      <w:szCs w:val="22"/>
    </w:rPr>
  </w:style>
  <w:style w:type="character" w:customStyle="1" w:styleId="EndNoteCategoryHeadingChar">
    <w:name w:val="EndNote Category Heading Char"/>
    <w:basedOn w:val="DefaultParagraphFont"/>
    <w:link w:val="EndNoteCategoryHeading"/>
    <w:rsid w:val="00286C5B"/>
    <w:rPr>
      <w:rFonts w:asciiTheme="minorHAnsi" w:hAnsiTheme="minorHAnsi" w:cstheme="minorBidi"/>
      <w:b/>
      <w:noProof/>
      <w:color w:val="auto"/>
      <w:sz w:val="22"/>
      <w:szCs w:val="22"/>
    </w:rPr>
  </w:style>
  <w:style w:type="paragraph" w:styleId="Quote">
    <w:name w:val="Quote"/>
    <w:basedOn w:val="Normal"/>
    <w:next w:val="Normal"/>
    <w:link w:val="QuoteChar"/>
    <w:uiPriority w:val="29"/>
    <w:qFormat/>
    <w:rsid w:val="000911A2"/>
    <w:pPr>
      <w:spacing w:after="200" w:line="276" w:lineRule="auto"/>
      <w:ind w:left="0" w:firstLine="0"/>
      <w:jc w:val="left"/>
    </w:pPr>
    <w:rPr>
      <w:rFonts w:asciiTheme="minorHAnsi" w:eastAsiaTheme="minorHAnsi" w:hAnsiTheme="minorHAnsi" w:cstheme="minorBidi"/>
      <w:i/>
      <w:iCs/>
      <w:color w:val="000000" w:themeColor="text1"/>
      <w:sz w:val="22"/>
      <w:szCs w:val="22"/>
      <w:lang w:bidi="en-US"/>
    </w:rPr>
  </w:style>
  <w:style w:type="character" w:customStyle="1" w:styleId="QuoteChar">
    <w:name w:val="Quote Char"/>
    <w:basedOn w:val="DefaultParagraphFont"/>
    <w:link w:val="Quote"/>
    <w:uiPriority w:val="29"/>
    <w:rsid w:val="000911A2"/>
    <w:rPr>
      <w:rFonts w:asciiTheme="minorHAnsi" w:hAnsiTheme="minorHAnsi"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0911A2"/>
    <w:pPr>
      <w:pBdr>
        <w:bottom w:val="single" w:sz="4" w:space="4" w:color="5B9BD5" w:themeColor="accent1"/>
      </w:pBdr>
      <w:spacing w:before="200" w:after="280" w:line="276" w:lineRule="auto"/>
      <w:ind w:left="936" w:right="936" w:firstLine="0"/>
      <w:jc w:val="left"/>
    </w:pPr>
    <w:rPr>
      <w:rFonts w:asciiTheme="minorHAnsi" w:eastAsiaTheme="minorHAnsi" w:hAnsiTheme="minorHAnsi" w:cstheme="minorBidi"/>
      <w:b/>
      <w:bCs/>
      <w:i/>
      <w:iCs/>
      <w:color w:val="5B9BD5" w:themeColor="accent1"/>
      <w:sz w:val="22"/>
      <w:szCs w:val="22"/>
      <w:lang w:bidi="en-US"/>
    </w:rPr>
  </w:style>
  <w:style w:type="character" w:customStyle="1" w:styleId="IntenseQuoteChar">
    <w:name w:val="Intense Quote Char"/>
    <w:basedOn w:val="DefaultParagraphFont"/>
    <w:link w:val="IntenseQuote"/>
    <w:uiPriority w:val="30"/>
    <w:rsid w:val="000911A2"/>
    <w:rPr>
      <w:rFonts w:asciiTheme="minorHAnsi" w:hAnsiTheme="minorHAnsi" w:cstheme="minorBidi"/>
      <w:b/>
      <w:bCs/>
      <w:i/>
      <w:iCs/>
      <w:color w:val="5B9BD5" w:themeColor="accent1"/>
      <w:sz w:val="22"/>
      <w:szCs w:val="22"/>
      <w:lang w:bidi="en-US"/>
    </w:rPr>
  </w:style>
  <w:style w:type="character" w:styleId="SubtleReference">
    <w:name w:val="Subtle Reference"/>
    <w:basedOn w:val="DefaultParagraphFont"/>
    <w:uiPriority w:val="31"/>
    <w:qFormat/>
    <w:rsid w:val="000911A2"/>
    <w:rPr>
      <w:smallCaps/>
      <w:color w:val="ED7D31" w:themeColor="accent2"/>
      <w:u w:val="single"/>
    </w:rPr>
  </w:style>
  <w:style w:type="character" w:styleId="IntenseReference">
    <w:name w:val="Intense Reference"/>
    <w:basedOn w:val="DefaultParagraphFont"/>
    <w:uiPriority w:val="32"/>
    <w:qFormat/>
    <w:rsid w:val="000911A2"/>
    <w:rPr>
      <w:b/>
      <w:bCs/>
      <w:smallCaps/>
      <w:color w:val="ED7D31" w:themeColor="accent2"/>
      <w:spacing w:val="5"/>
      <w:u w:val="single"/>
    </w:rPr>
  </w:style>
  <w:style w:type="character" w:customStyle="1" w:styleId="UnresolvedMention51">
    <w:name w:val="Unresolved Mention51"/>
    <w:basedOn w:val="DefaultParagraphFont"/>
    <w:uiPriority w:val="99"/>
    <w:semiHidden/>
    <w:unhideWhenUsed/>
    <w:rsid w:val="002C4D1E"/>
    <w:rPr>
      <w:color w:val="605E5C"/>
      <w:shd w:val="clear" w:color="auto" w:fill="E1DFDD"/>
    </w:rPr>
  </w:style>
  <w:style w:type="character" w:customStyle="1" w:styleId="UnresolvedMention6">
    <w:name w:val="Unresolved Mention6"/>
    <w:basedOn w:val="DefaultParagraphFont"/>
    <w:uiPriority w:val="99"/>
    <w:semiHidden/>
    <w:unhideWhenUsed/>
    <w:rsid w:val="002C4D1E"/>
    <w:rPr>
      <w:color w:val="808080"/>
      <w:shd w:val="clear" w:color="auto" w:fill="E6E6E6"/>
    </w:rPr>
  </w:style>
  <w:style w:type="character" w:customStyle="1" w:styleId="blue-complex-underline">
    <w:name w:val="blue-complex-underline"/>
    <w:basedOn w:val="DefaultParagraphFont"/>
    <w:rsid w:val="002C4D1E"/>
  </w:style>
  <w:style w:type="table" w:customStyle="1" w:styleId="Calendar1">
    <w:name w:val="Calendar 1"/>
    <w:basedOn w:val="TableNormal"/>
    <w:uiPriority w:val="99"/>
    <w:qFormat/>
    <w:rsid w:val="003D2035"/>
    <w:pPr>
      <w:spacing w:line="240" w:lineRule="auto"/>
      <w:ind w:left="0" w:firstLine="0"/>
      <w:jc w:val="left"/>
    </w:pPr>
    <w:rPr>
      <w:rFonts w:asciiTheme="minorHAnsi" w:eastAsiaTheme="minorEastAsia" w:hAnsiTheme="minorHAnsi" w:cstheme="minorBidi"/>
      <w:color w:val="auto"/>
      <w:sz w:val="22"/>
      <w:szCs w:val="22"/>
      <w:lang w:bidi="en-US"/>
    </w:rPr>
    <w:tblPr>
      <w:tblStyleRowBandSize w:val="1"/>
      <w:tblStyleColBandSize w:val="1"/>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LightShading">
    <w:name w:val="Light Shading"/>
    <w:basedOn w:val="TableNormal"/>
    <w:uiPriority w:val="60"/>
    <w:rsid w:val="003D2035"/>
    <w:pPr>
      <w:spacing w:line="240" w:lineRule="auto"/>
      <w:ind w:left="0" w:firstLine="0"/>
      <w:jc w:val="left"/>
    </w:pPr>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fontstyle11">
    <w:name w:val="fontstyle11"/>
    <w:basedOn w:val="DefaultParagraphFont"/>
    <w:rsid w:val="00422EFB"/>
    <w:rPr>
      <w:rFonts w:ascii="AdvOT46dcae81+fb" w:hAnsi="AdvOT46dcae81+fb" w:hint="default"/>
      <w:b w:val="0"/>
      <w:bCs w:val="0"/>
      <w:i w:val="0"/>
      <w:iCs w:val="0"/>
      <w:color w:val="000000"/>
      <w:sz w:val="20"/>
      <w:szCs w:val="20"/>
    </w:rPr>
  </w:style>
  <w:style w:type="paragraph" w:customStyle="1" w:styleId="pf0">
    <w:name w:val="pf0"/>
    <w:basedOn w:val="Normal"/>
    <w:rsid w:val="00422EFB"/>
    <w:pPr>
      <w:spacing w:before="100" w:beforeAutospacing="1" w:after="100" w:afterAutospacing="1"/>
      <w:ind w:left="0" w:firstLine="0"/>
      <w:jc w:val="left"/>
    </w:pPr>
    <w:rPr>
      <w:color w:val="auto"/>
    </w:rPr>
  </w:style>
  <w:style w:type="character" w:customStyle="1" w:styleId="cf01">
    <w:name w:val="cf01"/>
    <w:basedOn w:val="DefaultParagraphFont"/>
    <w:rsid w:val="00422EFB"/>
    <w:rPr>
      <w:rFonts w:ascii="Segoe UI" w:hAnsi="Segoe UI" w:cs="Segoe UI" w:hint="default"/>
      <w:sz w:val="18"/>
      <w:szCs w:val="18"/>
    </w:rPr>
  </w:style>
  <w:style w:type="paragraph" w:customStyle="1" w:styleId="dx-doi">
    <w:name w:val="dx-doi"/>
    <w:basedOn w:val="Normal"/>
    <w:rsid w:val="00422EFB"/>
    <w:pPr>
      <w:spacing w:before="100" w:beforeAutospacing="1" w:after="100" w:afterAutospacing="1"/>
      <w:ind w:left="0" w:firstLine="0"/>
      <w:jc w:val="left"/>
    </w:pPr>
    <w:rPr>
      <w:color w:val="auto"/>
    </w:rPr>
  </w:style>
  <w:style w:type="character" w:customStyle="1" w:styleId="5yl5">
    <w:name w:val="_5yl5"/>
    <w:basedOn w:val="DefaultParagraphFont"/>
    <w:rsid w:val="00C17721"/>
  </w:style>
  <w:style w:type="table" w:styleId="PlainTable3">
    <w:name w:val="Plain Table 3"/>
    <w:basedOn w:val="TableNormal"/>
    <w:uiPriority w:val="43"/>
    <w:rsid w:val="00C17721"/>
    <w:pPr>
      <w:spacing w:line="240" w:lineRule="auto"/>
      <w:ind w:left="0" w:firstLine="0"/>
      <w:jc w:val="left"/>
    </w:pPr>
    <w:rPr>
      <w:rFonts w:ascii="Calibri" w:eastAsia="Calibri" w:hAnsi="Calibri"/>
      <w:color w:val="auto"/>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il">
    <w:name w:val="il"/>
    <w:basedOn w:val="DefaultParagraphFont"/>
    <w:rsid w:val="00F63799"/>
  </w:style>
  <w:style w:type="paragraph" w:customStyle="1" w:styleId="Body">
    <w:name w:val="Body"/>
    <w:basedOn w:val="Normal"/>
    <w:link w:val="BodyChar"/>
    <w:autoRedefine/>
    <w:qFormat/>
    <w:rsid w:val="00F63799"/>
    <w:pPr>
      <w:spacing w:line="300" w:lineRule="auto"/>
      <w:ind w:left="0" w:firstLine="0"/>
    </w:pPr>
    <w:rPr>
      <w:color w:val="auto"/>
      <w:szCs w:val="20"/>
    </w:rPr>
  </w:style>
  <w:style w:type="character" w:customStyle="1" w:styleId="BodyChar">
    <w:name w:val="Body Char"/>
    <w:basedOn w:val="DefaultParagraphFont"/>
    <w:link w:val="Body"/>
    <w:rsid w:val="00F63799"/>
    <w:rPr>
      <w:rFonts w:eastAsia="Times New Roman"/>
      <w:color w:val="auto"/>
      <w:sz w:val="24"/>
      <w:szCs w:val="20"/>
    </w:rPr>
  </w:style>
  <w:style w:type="paragraph" w:customStyle="1" w:styleId="Normal11">
    <w:name w:val="Normal11"/>
    <w:basedOn w:val="Normal"/>
    <w:link w:val="Normal11Char1"/>
    <w:qFormat/>
    <w:rsid w:val="00F63799"/>
    <w:pPr>
      <w:widowControl w:val="0"/>
      <w:autoSpaceDE w:val="0"/>
      <w:autoSpaceDN w:val="0"/>
      <w:adjustRightInd w:val="0"/>
      <w:spacing w:line="176" w:lineRule="atLeast"/>
      <w:ind w:left="0" w:firstLine="0"/>
      <w:jc w:val="left"/>
    </w:pPr>
    <w:rPr>
      <w:sz w:val="18"/>
      <w:szCs w:val="18"/>
      <w:lang w:bidi="th-TH"/>
    </w:rPr>
  </w:style>
  <w:style w:type="character" w:customStyle="1" w:styleId="Normal11Char1">
    <w:name w:val="Normal11 Char1"/>
    <w:link w:val="Normal11"/>
    <w:rsid w:val="00F63799"/>
    <w:rPr>
      <w:rFonts w:eastAsia="Times New Roman"/>
      <w:sz w:val="18"/>
      <w:szCs w:val="18"/>
      <w:lang w:bidi="th-TH"/>
    </w:rPr>
  </w:style>
  <w:style w:type="character" w:customStyle="1" w:styleId="hgkelc">
    <w:name w:val="hgkelc"/>
    <w:rsid w:val="00D4551B"/>
  </w:style>
  <w:style w:type="table" w:styleId="MediumList2-Accent1">
    <w:name w:val="Medium List 2 Accent 1"/>
    <w:basedOn w:val="TableNormal"/>
    <w:uiPriority w:val="66"/>
    <w:rsid w:val="00D4551B"/>
    <w:pPr>
      <w:spacing w:line="240" w:lineRule="auto"/>
      <w:ind w:left="0" w:firstLine="0"/>
      <w:jc w:val="left"/>
    </w:pPr>
    <w:rPr>
      <w:rFonts w:ascii="Cambria" w:eastAsia="Times New Roman" w:hAnsi="Cambria"/>
      <w:sz w:val="20"/>
      <w:szCs w:val="20"/>
      <w:lang w:bidi="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Shading2-Accent3">
    <w:name w:val="Medium Shading 2 Accent 3"/>
    <w:basedOn w:val="TableNormal"/>
    <w:uiPriority w:val="64"/>
    <w:rsid w:val="00D4551B"/>
    <w:pPr>
      <w:spacing w:line="240" w:lineRule="auto"/>
      <w:ind w:left="0" w:firstLine="0"/>
      <w:jc w:val="left"/>
    </w:pPr>
    <w:rPr>
      <w:rFonts w:ascii="Calibri" w:eastAsia="Calibri" w:hAnsi="Calibri"/>
      <w:color w:val="auto"/>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2">
    <w:name w:val="Light Shading - Accent 12"/>
    <w:basedOn w:val="TableNormal"/>
    <w:uiPriority w:val="60"/>
    <w:rsid w:val="00D4551B"/>
    <w:pPr>
      <w:spacing w:line="240" w:lineRule="auto"/>
      <w:ind w:left="0" w:firstLine="0"/>
      <w:jc w:val="left"/>
    </w:pPr>
    <w:rPr>
      <w:rFonts w:ascii="Calibri" w:eastAsia="Times New Roman" w:hAnsi="Calibri"/>
      <w:color w:val="365F91"/>
      <w:sz w:val="20"/>
      <w:szCs w:val="20"/>
      <w:lang w:bidi="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a10">
    <w:name w:val="Pa10"/>
    <w:basedOn w:val="Default"/>
    <w:next w:val="Default"/>
    <w:uiPriority w:val="99"/>
    <w:rsid w:val="00D4551B"/>
    <w:pPr>
      <w:spacing w:line="191" w:lineRule="atLeast"/>
      <w:ind w:left="0" w:firstLine="0"/>
      <w:jc w:val="left"/>
    </w:pPr>
    <w:rPr>
      <w:rFonts w:ascii="Frutiger LT Pro 57 Condensed" w:eastAsia="Calibri" w:hAnsi="Frutiger LT Pro 57 Condensed"/>
      <w:color w:val="auto"/>
    </w:rPr>
  </w:style>
  <w:style w:type="character" w:customStyle="1" w:styleId="A21">
    <w:name w:val="A21"/>
    <w:uiPriority w:val="99"/>
    <w:rsid w:val="00D4551B"/>
    <w:rPr>
      <w:rFonts w:cs="Frutiger LT Pro 57 Condensed"/>
      <w:color w:val="000000"/>
      <w:sz w:val="13"/>
      <w:szCs w:val="13"/>
    </w:rPr>
  </w:style>
  <w:style w:type="character" w:customStyle="1" w:styleId="A17">
    <w:name w:val="A17"/>
    <w:uiPriority w:val="99"/>
    <w:rsid w:val="00D4551B"/>
    <w:rPr>
      <w:rFonts w:cs="Frutiger LT Pro 57 Condensed"/>
      <w:color w:val="000000"/>
      <w:sz w:val="20"/>
      <w:szCs w:val="20"/>
    </w:rPr>
  </w:style>
  <w:style w:type="character" w:customStyle="1" w:styleId="A22">
    <w:name w:val="A22"/>
    <w:uiPriority w:val="99"/>
    <w:rsid w:val="00D4551B"/>
    <w:rPr>
      <w:rFonts w:cs="Archer Light"/>
      <w:color w:val="000000"/>
      <w:sz w:val="21"/>
      <w:szCs w:val="21"/>
    </w:rPr>
  </w:style>
  <w:style w:type="paragraph" w:customStyle="1" w:styleId="Pa9">
    <w:name w:val="Pa9"/>
    <w:basedOn w:val="Default"/>
    <w:next w:val="Default"/>
    <w:uiPriority w:val="99"/>
    <w:rsid w:val="00D4551B"/>
    <w:pPr>
      <w:spacing w:line="221" w:lineRule="atLeast"/>
      <w:ind w:left="0" w:firstLine="0"/>
      <w:jc w:val="left"/>
    </w:pPr>
    <w:rPr>
      <w:rFonts w:ascii="Archer Light" w:eastAsia="Calibri" w:hAnsi="Archer Light"/>
      <w:color w:val="auto"/>
    </w:rPr>
  </w:style>
  <w:style w:type="character" w:customStyle="1" w:styleId="A20">
    <w:name w:val="A20"/>
    <w:uiPriority w:val="99"/>
    <w:rsid w:val="00D4551B"/>
    <w:rPr>
      <w:rFonts w:ascii="Archer Bold" w:hAnsi="Archer Bold" w:cs="Archer Bold"/>
      <w:b/>
      <w:bCs/>
      <w:color w:val="000000"/>
      <w:sz w:val="19"/>
      <w:szCs w:val="19"/>
    </w:rPr>
  </w:style>
  <w:style w:type="character" w:customStyle="1" w:styleId="kx21rb">
    <w:name w:val="kx21rb"/>
    <w:rsid w:val="00D4551B"/>
  </w:style>
  <w:style w:type="table" w:customStyle="1" w:styleId="PlainTable51">
    <w:name w:val="Plain Table 51"/>
    <w:basedOn w:val="TableNormal"/>
    <w:uiPriority w:val="45"/>
    <w:rsid w:val="00573A13"/>
    <w:pPr>
      <w:spacing w:line="240" w:lineRule="auto"/>
      <w:ind w:left="0" w:firstLine="0"/>
      <w:jc w:val="left"/>
    </w:pPr>
    <w:rPr>
      <w:rFonts w:asciiTheme="minorHAnsi" w:hAnsiTheme="minorHAnsi" w:cstheme="minorBidi"/>
      <w:color w:val="auto"/>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2">
    <w:name w:val="Table Grid Light2"/>
    <w:basedOn w:val="TableNormal"/>
    <w:uiPriority w:val="40"/>
    <w:rsid w:val="00573A13"/>
    <w:pPr>
      <w:spacing w:line="240" w:lineRule="auto"/>
      <w:ind w:left="0" w:firstLine="0"/>
      <w:jc w:val="left"/>
    </w:pPr>
    <w:rPr>
      <w:rFonts w:asciiTheme="minorHAnsi" w:hAnsiTheme="minorHAnsi" w:cstheme="minorBidi"/>
      <w:color w:val="auto"/>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TableNormal"/>
    <w:uiPriority w:val="45"/>
    <w:rsid w:val="00573A13"/>
    <w:pPr>
      <w:spacing w:line="240" w:lineRule="auto"/>
      <w:ind w:left="0" w:firstLine="0"/>
      <w:jc w:val="left"/>
    </w:pPr>
    <w:rPr>
      <w:rFonts w:asciiTheme="minorHAnsi" w:hAnsiTheme="minorHAnsi" w:cstheme="minorBidi"/>
      <w:color w:val="auto"/>
      <w:sz w:val="22"/>
      <w:szCs w:val="22"/>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italics">
    <w:name w:val="italics"/>
    <w:basedOn w:val="DefaultParagraphFont"/>
    <w:rsid w:val="000E1AAB"/>
  </w:style>
  <w:style w:type="character" w:customStyle="1" w:styleId="bold">
    <w:name w:val="bold"/>
    <w:basedOn w:val="DefaultParagraphFont"/>
    <w:rsid w:val="000E1AAB"/>
  </w:style>
  <w:style w:type="character" w:customStyle="1" w:styleId="ff1">
    <w:name w:val="ff1"/>
    <w:basedOn w:val="DefaultParagraphFont"/>
    <w:rsid w:val="000E1AAB"/>
  </w:style>
  <w:style w:type="character" w:customStyle="1" w:styleId="ff5">
    <w:name w:val="ff5"/>
    <w:basedOn w:val="DefaultParagraphFont"/>
    <w:rsid w:val="000E1AAB"/>
  </w:style>
  <w:style w:type="character" w:customStyle="1" w:styleId="personname">
    <w:name w:val="person_name"/>
    <w:basedOn w:val="DefaultParagraphFont"/>
    <w:rsid w:val="000E1AAB"/>
  </w:style>
  <w:style w:type="paragraph" w:customStyle="1" w:styleId="Pa3">
    <w:name w:val="Pa3"/>
    <w:basedOn w:val="Normal"/>
    <w:next w:val="Normal"/>
    <w:uiPriority w:val="99"/>
    <w:rsid w:val="005C2999"/>
    <w:pPr>
      <w:autoSpaceDE w:val="0"/>
      <w:autoSpaceDN w:val="0"/>
      <w:adjustRightInd w:val="0"/>
      <w:spacing w:line="241" w:lineRule="atLeast"/>
      <w:ind w:left="0" w:firstLine="0"/>
      <w:jc w:val="left"/>
    </w:pPr>
    <w:rPr>
      <w:rFonts w:ascii="Adobe Garamond Pro" w:eastAsia="Calibri" w:hAnsi="Adobe Garamond Pro" w:cs="Calibri"/>
      <w:color w:val="auto"/>
      <w:lang w:val="en-GB" w:eastAsia="en-GB"/>
    </w:rPr>
  </w:style>
  <w:style w:type="character" w:customStyle="1" w:styleId="DefaultChar">
    <w:name w:val="Default Char"/>
    <w:basedOn w:val="DefaultParagraphFont"/>
    <w:link w:val="Default"/>
    <w:rsid w:val="005C2999"/>
    <w:rPr>
      <w:rFonts w:eastAsiaTheme="minorEastAsia"/>
      <w:sz w:val="24"/>
      <w:szCs w:val="24"/>
    </w:rPr>
  </w:style>
  <w:style w:type="character" w:customStyle="1" w:styleId="UnresolvedMention7">
    <w:name w:val="Unresolved Mention7"/>
    <w:basedOn w:val="DefaultParagraphFont"/>
    <w:uiPriority w:val="99"/>
    <w:semiHidden/>
    <w:unhideWhenUsed/>
    <w:rsid w:val="005C2999"/>
    <w:rPr>
      <w:color w:val="605E5C"/>
      <w:shd w:val="clear" w:color="auto" w:fill="E1DFDD"/>
    </w:rPr>
  </w:style>
  <w:style w:type="table" w:styleId="GridTable3-Accent3">
    <w:name w:val="Grid Table 3 Accent 3"/>
    <w:basedOn w:val="TableNormal"/>
    <w:uiPriority w:val="48"/>
    <w:rsid w:val="0015175D"/>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paragraph" w:customStyle="1" w:styleId="msonormal0">
    <w:name w:val="msonormal"/>
    <w:basedOn w:val="Normal"/>
    <w:uiPriority w:val="99"/>
    <w:rsid w:val="00133B19"/>
    <w:pPr>
      <w:spacing w:before="100" w:beforeAutospacing="1" w:after="100" w:afterAutospacing="1"/>
      <w:ind w:left="0" w:firstLine="0"/>
      <w:jc w:val="left"/>
    </w:pPr>
    <w:rPr>
      <w:color w:val="auto"/>
    </w:rPr>
  </w:style>
  <w:style w:type="paragraph" w:customStyle="1" w:styleId="TextIndent">
    <w:name w:val="Text Indent"/>
    <w:rsid w:val="00493509"/>
    <w:pPr>
      <w:spacing w:line="280" w:lineRule="exact"/>
      <w:ind w:left="0" w:firstLine="302"/>
    </w:pPr>
    <w:rPr>
      <w:rFonts w:eastAsia="Times New Roman"/>
      <w:color w:val="auto"/>
      <w:sz w:val="22"/>
      <w:szCs w:val="20"/>
      <w:lang w:eastAsia="ja-JP"/>
    </w:rPr>
  </w:style>
  <w:style w:type="character" w:customStyle="1" w:styleId="UnresolvedMention8">
    <w:name w:val="Unresolved Mention8"/>
    <w:basedOn w:val="DefaultParagraphFont"/>
    <w:uiPriority w:val="99"/>
    <w:semiHidden/>
    <w:unhideWhenUsed/>
    <w:rsid w:val="000E2A62"/>
    <w:rPr>
      <w:color w:val="605E5C"/>
      <w:shd w:val="clear" w:color="auto" w:fill="E1DFDD"/>
    </w:rPr>
  </w:style>
  <w:style w:type="character" w:customStyle="1" w:styleId="addmd">
    <w:name w:val="addmd"/>
    <w:basedOn w:val="DefaultParagraphFont"/>
    <w:rsid w:val="00F422D7"/>
  </w:style>
  <w:style w:type="character" w:customStyle="1" w:styleId="mwe-math-mathml-inline">
    <w:name w:val="mwe-math-mathml-inline"/>
    <w:basedOn w:val="DefaultParagraphFont"/>
    <w:rsid w:val="00F422D7"/>
  </w:style>
  <w:style w:type="paragraph" w:customStyle="1" w:styleId="shortdesc">
    <w:name w:val="shortdesc"/>
    <w:basedOn w:val="Normal"/>
    <w:uiPriority w:val="99"/>
    <w:rsid w:val="00F422D7"/>
    <w:pPr>
      <w:spacing w:before="100" w:beforeAutospacing="1" w:after="100" w:afterAutospacing="1"/>
      <w:ind w:left="0" w:firstLine="0"/>
      <w:jc w:val="left"/>
    </w:pPr>
    <w:rPr>
      <w:color w:val="auto"/>
    </w:rPr>
  </w:style>
  <w:style w:type="paragraph" w:customStyle="1" w:styleId="bop--single--topics">
    <w:name w:val="bop--single--topics"/>
    <w:basedOn w:val="Normal"/>
    <w:rsid w:val="00F422D7"/>
    <w:pPr>
      <w:spacing w:before="100" w:beforeAutospacing="1" w:after="100" w:afterAutospacing="1"/>
      <w:ind w:left="0" w:firstLine="0"/>
      <w:jc w:val="left"/>
    </w:pPr>
    <w:rPr>
      <w:color w:val="auto"/>
    </w:rPr>
  </w:style>
  <w:style w:type="character" w:customStyle="1" w:styleId="blog--single--meta--date">
    <w:name w:val="blog--single--meta--date"/>
    <w:basedOn w:val="DefaultParagraphFont"/>
    <w:rsid w:val="00F422D7"/>
  </w:style>
  <w:style w:type="character" w:customStyle="1" w:styleId="hscoswrapper">
    <w:name w:val="hs_cos_wrapper"/>
    <w:basedOn w:val="DefaultParagraphFont"/>
    <w:rsid w:val="00F422D7"/>
  </w:style>
  <w:style w:type="paragraph" w:customStyle="1" w:styleId="share--facebook">
    <w:name w:val="share--facebook"/>
    <w:basedOn w:val="Normal"/>
    <w:rsid w:val="00F422D7"/>
    <w:pPr>
      <w:spacing w:before="100" w:beforeAutospacing="1" w:after="100" w:afterAutospacing="1"/>
      <w:ind w:left="0" w:firstLine="0"/>
      <w:jc w:val="left"/>
    </w:pPr>
    <w:rPr>
      <w:color w:val="auto"/>
    </w:rPr>
  </w:style>
  <w:style w:type="paragraph" w:customStyle="1" w:styleId="share--twitter">
    <w:name w:val="share--twitter"/>
    <w:basedOn w:val="Normal"/>
    <w:rsid w:val="00F422D7"/>
    <w:pPr>
      <w:spacing w:before="100" w:beforeAutospacing="1" w:after="100" w:afterAutospacing="1"/>
      <w:ind w:left="0" w:firstLine="0"/>
      <w:jc w:val="left"/>
    </w:pPr>
    <w:rPr>
      <w:color w:val="auto"/>
    </w:rPr>
  </w:style>
  <w:style w:type="paragraph" w:customStyle="1" w:styleId="share--linkedin">
    <w:name w:val="share--linkedin"/>
    <w:basedOn w:val="Normal"/>
    <w:rsid w:val="00F422D7"/>
    <w:pPr>
      <w:spacing w:before="100" w:beforeAutospacing="1" w:after="100" w:afterAutospacing="1"/>
      <w:ind w:left="0" w:firstLine="0"/>
      <w:jc w:val="left"/>
    </w:pPr>
    <w:rPr>
      <w:color w:val="auto"/>
    </w:rPr>
  </w:style>
  <w:style w:type="paragraph" w:customStyle="1" w:styleId="share--mail-to">
    <w:name w:val="share--mail-to"/>
    <w:basedOn w:val="Normal"/>
    <w:rsid w:val="00F422D7"/>
    <w:pPr>
      <w:spacing w:before="100" w:beforeAutospacing="1" w:after="100" w:afterAutospacing="1"/>
      <w:ind w:left="0" w:firstLine="0"/>
      <w:jc w:val="left"/>
    </w:pPr>
    <w:rPr>
      <w:color w:val="auto"/>
    </w:rPr>
  </w:style>
  <w:style w:type="character" w:styleId="HTMLCode">
    <w:name w:val="HTML Code"/>
    <w:basedOn w:val="DefaultParagraphFont"/>
    <w:uiPriority w:val="99"/>
    <w:semiHidden/>
    <w:unhideWhenUsed/>
    <w:rsid w:val="00F422D7"/>
    <w:rPr>
      <w:rFonts w:ascii="Courier New" w:eastAsia="Times New Roman" w:hAnsi="Courier New" w:cs="Courier New" w:hint="default"/>
      <w:sz w:val="20"/>
      <w:szCs w:val="20"/>
    </w:rPr>
  </w:style>
  <w:style w:type="paragraph" w:customStyle="1" w:styleId="comp">
    <w:name w:val="comp"/>
    <w:basedOn w:val="Normal"/>
    <w:rsid w:val="00F422D7"/>
    <w:pPr>
      <w:spacing w:before="100" w:beforeAutospacing="1" w:after="100" w:afterAutospacing="1"/>
      <w:ind w:left="0" w:firstLine="0"/>
      <w:jc w:val="left"/>
    </w:pPr>
    <w:rPr>
      <w:color w:val="auto"/>
    </w:rPr>
  </w:style>
  <w:style w:type="paragraph" w:customStyle="1" w:styleId="paragraph0">
    <w:name w:val="paragraph"/>
    <w:basedOn w:val="Normal"/>
    <w:uiPriority w:val="99"/>
    <w:rsid w:val="00F422D7"/>
    <w:pPr>
      <w:spacing w:before="100" w:beforeAutospacing="1" w:after="100" w:afterAutospacing="1"/>
      <w:ind w:left="0" w:firstLine="0"/>
      <w:jc w:val="left"/>
    </w:pPr>
    <w:rPr>
      <w:color w:val="auto"/>
    </w:rPr>
  </w:style>
  <w:style w:type="paragraph" w:customStyle="1" w:styleId="m-detail-citation--meta">
    <w:name w:val="m-detail-citation--meta"/>
    <w:basedOn w:val="Normal"/>
    <w:uiPriority w:val="99"/>
    <w:rsid w:val="00F422D7"/>
    <w:pPr>
      <w:spacing w:before="100" w:beforeAutospacing="1" w:after="100" w:afterAutospacing="1"/>
      <w:ind w:left="0" w:firstLine="0"/>
      <w:jc w:val="left"/>
    </w:pPr>
    <w:rPr>
      <w:color w:val="auto"/>
    </w:rPr>
  </w:style>
  <w:style w:type="paragraph" w:customStyle="1" w:styleId="m-brand-engagement--dek">
    <w:name w:val="m-brand-engagement--dek"/>
    <w:basedOn w:val="Normal"/>
    <w:uiPriority w:val="99"/>
    <w:rsid w:val="00F422D7"/>
    <w:pPr>
      <w:spacing w:before="100" w:beforeAutospacing="1" w:after="100" w:afterAutospacing="1"/>
      <w:ind w:left="0" w:firstLine="0"/>
      <w:jc w:val="left"/>
    </w:pPr>
    <w:rPr>
      <w:color w:val="auto"/>
    </w:rPr>
  </w:style>
  <w:style w:type="paragraph" w:customStyle="1" w:styleId="Pa14">
    <w:name w:val="Pa14"/>
    <w:basedOn w:val="Default"/>
    <w:next w:val="Default"/>
    <w:uiPriority w:val="99"/>
    <w:rsid w:val="00F422D7"/>
    <w:pPr>
      <w:spacing w:line="221" w:lineRule="atLeast"/>
      <w:ind w:left="0" w:firstLine="0"/>
      <w:jc w:val="left"/>
    </w:pPr>
    <w:rPr>
      <w:rFonts w:ascii="Garamond" w:eastAsiaTheme="minorHAnsi" w:hAnsi="Garamond" w:cstheme="minorBidi"/>
      <w:color w:val="auto"/>
    </w:rPr>
  </w:style>
  <w:style w:type="paragraph" w:customStyle="1" w:styleId="toctitle">
    <w:name w:val="toc_title"/>
    <w:basedOn w:val="Normal"/>
    <w:uiPriority w:val="99"/>
    <w:rsid w:val="00F422D7"/>
    <w:pPr>
      <w:spacing w:before="100" w:beforeAutospacing="1" w:after="100" w:afterAutospacing="1"/>
      <w:ind w:left="0" w:firstLine="0"/>
      <w:jc w:val="left"/>
    </w:pPr>
    <w:rPr>
      <w:color w:val="auto"/>
    </w:rPr>
  </w:style>
  <w:style w:type="paragraph" w:customStyle="1" w:styleId="has-text-color">
    <w:name w:val="has-text-color"/>
    <w:basedOn w:val="Normal"/>
    <w:uiPriority w:val="99"/>
    <w:rsid w:val="00F422D7"/>
    <w:pPr>
      <w:spacing w:before="100" w:beforeAutospacing="1" w:after="100" w:afterAutospacing="1"/>
      <w:ind w:left="0" w:firstLine="0"/>
      <w:jc w:val="left"/>
    </w:pPr>
    <w:rPr>
      <w:color w:val="auto"/>
    </w:rPr>
  </w:style>
  <w:style w:type="paragraph" w:customStyle="1" w:styleId="c-article-referencestext">
    <w:name w:val="c-article-references__text"/>
    <w:basedOn w:val="Normal"/>
    <w:rsid w:val="00F422D7"/>
    <w:pPr>
      <w:spacing w:before="100" w:beforeAutospacing="1" w:after="100" w:afterAutospacing="1"/>
      <w:ind w:left="0" w:firstLine="0"/>
      <w:jc w:val="left"/>
    </w:pPr>
    <w:rPr>
      <w:color w:val="auto"/>
    </w:rPr>
  </w:style>
  <w:style w:type="paragraph" w:customStyle="1" w:styleId="keywords0">
    <w:name w:val="keywords"/>
    <w:basedOn w:val="Normal"/>
    <w:uiPriority w:val="99"/>
    <w:rsid w:val="00F422D7"/>
    <w:pPr>
      <w:spacing w:before="100" w:beforeAutospacing="1" w:after="100" w:afterAutospacing="1"/>
      <w:ind w:left="0" w:firstLine="0"/>
      <w:jc w:val="left"/>
    </w:pPr>
    <w:rPr>
      <w:color w:val="auto"/>
    </w:rPr>
  </w:style>
  <w:style w:type="paragraph" w:customStyle="1" w:styleId="styles-module--contentsection--qwyk">
    <w:name w:val="styles-module--contentsection--_qwyk"/>
    <w:basedOn w:val="Normal"/>
    <w:uiPriority w:val="99"/>
    <w:rsid w:val="00F422D7"/>
    <w:pPr>
      <w:spacing w:before="100" w:beforeAutospacing="1" w:after="100" w:afterAutospacing="1"/>
      <w:ind w:left="0" w:firstLine="0"/>
      <w:jc w:val="left"/>
    </w:pPr>
    <w:rPr>
      <w:color w:val="auto"/>
    </w:rPr>
  </w:style>
  <w:style w:type="paragraph" w:customStyle="1" w:styleId="toclevel-1">
    <w:name w:val="toclevel-1"/>
    <w:basedOn w:val="Normal"/>
    <w:uiPriority w:val="99"/>
    <w:rsid w:val="00F422D7"/>
    <w:pPr>
      <w:spacing w:before="100" w:beforeAutospacing="1" w:after="100" w:afterAutospacing="1"/>
      <w:ind w:left="0" w:firstLine="0"/>
      <w:jc w:val="left"/>
    </w:pPr>
    <w:rPr>
      <w:color w:val="auto"/>
    </w:rPr>
  </w:style>
  <w:style w:type="paragraph" w:customStyle="1" w:styleId="toclevel-2">
    <w:name w:val="toclevel-2"/>
    <w:basedOn w:val="Normal"/>
    <w:uiPriority w:val="99"/>
    <w:rsid w:val="00F422D7"/>
    <w:pPr>
      <w:spacing w:before="100" w:beforeAutospacing="1" w:after="100" w:afterAutospacing="1"/>
      <w:ind w:left="0" w:firstLine="0"/>
      <w:jc w:val="left"/>
    </w:pPr>
    <w:rPr>
      <w:color w:val="auto"/>
    </w:rPr>
  </w:style>
  <w:style w:type="paragraph" w:customStyle="1" w:styleId="selected">
    <w:name w:val="selected"/>
    <w:basedOn w:val="Normal"/>
    <w:uiPriority w:val="99"/>
    <w:rsid w:val="00F422D7"/>
    <w:pPr>
      <w:spacing w:before="100" w:beforeAutospacing="1" w:after="100" w:afterAutospacing="1"/>
      <w:ind w:left="0" w:firstLine="0"/>
      <w:jc w:val="left"/>
    </w:pPr>
    <w:rPr>
      <w:color w:val="auto"/>
    </w:rPr>
  </w:style>
  <w:style w:type="paragraph" w:customStyle="1" w:styleId="para0">
    <w:name w:val="para"/>
    <w:basedOn w:val="Normal"/>
    <w:rsid w:val="00F422D7"/>
    <w:pPr>
      <w:spacing w:before="100" w:beforeAutospacing="1" w:after="100" w:afterAutospacing="1"/>
      <w:ind w:left="0" w:firstLine="0"/>
      <w:jc w:val="left"/>
    </w:pPr>
    <w:rPr>
      <w:color w:val="auto"/>
    </w:rPr>
  </w:style>
  <w:style w:type="paragraph" w:customStyle="1" w:styleId="lead">
    <w:name w:val="lead"/>
    <w:basedOn w:val="Normal"/>
    <w:rsid w:val="00F422D7"/>
    <w:pPr>
      <w:spacing w:before="100" w:beforeAutospacing="1" w:after="100" w:afterAutospacing="1"/>
      <w:ind w:left="0" w:firstLine="0"/>
      <w:jc w:val="left"/>
    </w:pPr>
    <w:rPr>
      <w:color w:val="auto"/>
    </w:rPr>
  </w:style>
  <w:style w:type="character" w:customStyle="1" w:styleId="A10">
    <w:name w:val="A10"/>
    <w:uiPriority w:val="99"/>
    <w:rsid w:val="00F422D7"/>
    <w:rPr>
      <w:color w:val="000000"/>
      <w:sz w:val="18"/>
      <w:szCs w:val="18"/>
    </w:rPr>
  </w:style>
  <w:style w:type="character" w:customStyle="1" w:styleId="hlfld-title">
    <w:name w:val="hlfld-title"/>
    <w:basedOn w:val="DefaultParagraphFont"/>
    <w:rsid w:val="00F422D7"/>
  </w:style>
  <w:style w:type="character" w:customStyle="1" w:styleId="A8">
    <w:name w:val="A8"/>
    <w:uiPriority w:val="99"/>
    <w:rsid w:val="00F422D7"/>
    <w:rPr>
      <w:rFonts w:ascii="HelveticaNeueLT Std Med" w:hAnsi="HelveticaNeueLT Std Med" w:cs="HelveticaNeueLT Std Med" w:hint="default"/>
      <w:color w:val="000000"/>
      <w:sz w:val="10"/>
      <w:szCs w:val="10"/>
    </w:rPr>
  </w:style>
  <w:style w:type="character" w:customStyle="1" w:styleId="ph">
    <w:name w:val="ph"/>
    <w:basedOn w:val="DefaultParagraphFont"/>
    <w:rsid w:val="00F422D7"/>
  </w:style>
  <w:style w:type="character" w:customStyle="1" w:styleId="A0">
    <w:name w:val="A0"/>
    <w:uiPriority w:val="99"/>
    <w:rsid w:val="00F422D7"/>
    <w:rPr>
      <w:rFonts w:ascii="Open Sans" w:hAnsi="Open Sans" w:cs="Open Sans" w:hint="default"/>
      <w:color w:val="000000"/>
      <w:sz w:val="40"/>
      <w:szCs w:val="40"/>
    </w:rPr>
  </w:style>
  <w:style w:type="character" w:customStyle="1" w:styleId="bylinename">
    <w:name w:val="byline__name"/>
    <w:basedOn w:val="DefaultParagraphFont"/>
    <w:rsid w:val="00F422D7"/>
  </w:style>
  <w:style w:type="character" w:customStyle="1" w:styleId="mntl-sc-block-headingtext">
    <w:name w:val="mntl-sc-block-heading__text"/>
    <w:basedOn w:val="DefaultParagraphFont"/>
    <w:rsid w:val="00F422D7"/>
  </w:style>
  <w:style w:type="character" w:customStyle="1" w:styleId="linkwrapper">
    <w:name w:val="link__wrapper"/>
    <w:basedOn w:val="DefaultParagraphFont"/>
    <w:rsid w:val="00F422D7"/>
  </w:style>
  <w:style w:type="character" w:customStyle="1" w:styleId="hidden-xs">
    <w:name w:val="hidden-xs"/>
    <w:basedOn w:val="DefaultParagraphFont"/>
    <w:rsid w:val="00F422D7"/>
  </w:style>
  <w:style w:type="character" w:customStyle="1" w:styleId="A9">
    <w:name w:val="A9"/>
    <w:uiPriority w:val="99"/>
    <w:rsid w:val="00F422D7"/>
    <w:rPr>
      <w:rFonts w:ascii="Bliss Pro Regular" w:hAnsi="Bliss Pro Regular" w:cs="Bliss Pro Regular" w:hint="default"/>
      <w:color w:val="000000"/>
    </w:rPr>
  </w:style>
  <w:style w:type="character" w:customStyle="1" w:styleId="comp1">
    <w:name w:val="comp1"/>
    <w:basedOn w:val="DefaultParagraphFont"/>
    <w:rsid w:val="00F422D7"/>
  </w:style>
  <w:style w:type="character" w:customStyle="1" w:styleId="trcrboxheaderspan">
    <w:name w:val="trc_rbox_header_span"/>
    <w:basedOn w:val="DefaultParagraphFont"/>
    <w:rsid w:val="00F422D7"/>
  </w:style>
  <w:style w:type="character" w:customStyle="1" w:styleId="video-label">
    <w:name w:val="video-label"/>
    <w:basedOn w:val="DefaultParagraphFont"/>
    <w:rsid w:val="00F422D7"/>
  </w:style>
  <w:style w:type="character" w:customStyle="1" w:styleId="branding">
    <w:name w:val="branding"/>
    <w:basedOn w:val="DefaultParagraphFont"/>
    <w:rsid w:val="00F422D7"/>
  </w:style>
  <w:style w:type="character" w:customStyle="1" w:styleId="A5">
    <w:name w:val="A5"/>
    <w:uiPriority w:val="99"/>
    <w:rsid w:val="00F422D7"/>
    <w:rPr>
      <w:b/>
      <w:bCs/>
      <w:color w:val="000000"/>
      <w:sz w:val="14"/>
      <w:szCs w:val="14"/>
    </w:rPr>
  </w:style>
  <w:style w:type="character" w:customStyle="1" w:styleId="verticals-listitem-label">
    <w:name w:val="verticals-listitem-label"/>
    <w:basedOn w:val="DefaultParagraphFont"/>
    <w:rsid w:val="00F422D7"/>
  </w:style>
  <w:style w:type="character" w:customStyle="1" w:styleId="image-source-caption">
    <w:name w:val="image-source-caption"/>
    <w:basedOn w:val="DefaultParagraphFont"/>
    <w:rsid w:val="00F422D7"/>
  </w:style>
  <w:style w:type="character" w:customStyle="1" w:styleId="image-source">
    <w:name w:val="image-source"/>
    <w:basedOn w:val="DefaultParagraphFont"/>
    <w:rsid w:val="00F422D7"/>
  </w:style>
  <w:style w:type="character" w:customStyle="1" w:styleId="more-text">
    <w:name w:val="more-text"/>
    <w:basedOn w:val="DefaultParagraphFont"/>
    <w:rsid w:val="00F422D7"/>
  </w:style>
  <w:style w:type="character" w:customStyle="1" w:styleId="copy-comma">
    <w:name w:val="copy-comma"/>
    <w:basedOn w:val="DefaultParagraphFont"/>
    <w:rsid w:val="00F422D7"/>
  </w:style>
  <w:style w:type="character" w:customStyle="1" w:styleId="copy-and">
    <w:name w:val="copy-and"/>
    <w:basedOn w:val="DefaultParagraphFont"/>
    <w:rsid w:val="00F422D7"/>
  </w:style>
  <w:style w:type="character" w:customStyle="1" w:styleId="editions-listitem-label">
    <w:name w:val="editions-listitem-label"/>
    <w:basedOn w:val="DefaultParagraphFont"/>
    <w:rsid w:val="00F422D7"/>
  </w:style>
  <w:style w:type="character" w:customStyle="1" w:styleId="editions-link-abbr">
    <w:name w:val="editions-link-abbr"/>
    <w:basedOn w:val="DefaultParagraphFont"/>
    <w:rsid w:val="00F422D7"/>
  </w:style>
  <w:style w:type="character" w:customStyle="1" w:styleId="authorortitle">
    <w:name w:val="authorortitle"/>
    <w:basedOn w:val="DefaultParagraphFont"/>
    <w:rsid w:val="00F422D7"/>
  </w:style>
  <w:style w:type="character" w:customStyle="1" w:styleId="mw-headline">
    <w:name w:val="mw-headline"/>
    <w:basedOn w:val="DefaultParagraphFont"/>
    <w:rsid w:val="00F422D7"/>
  </w:style>
  <w:style w:type="character" w:customStyle="1" w:styleId="mw-editsection">
    <w:name w:val="mw-editsection"/>
    <w:basedOn w:val="DefaultParagraphFont"/>
    <w:rsid w:val="00F422D7"/>
  </w:style>
  <w:style w:type="character" w:customStyle="1" w:styleId="mw-editsection-bracket">
    <w:name w:val="mw-editsection-bracket"/>
    <w:basedOn w:val="DefaultParagraphFont"/>
    <w:rsid w:val="00F422D7"/>
  </w:style>
  <w:style w:type="character" w:customStyle="1" w:styleId="reference-text">
    <w:name w:val="reference-text"/>
    <w:basedOn w:val="DefaultParagraphFont"/>
    <w:rsid w:val="00F422D7"/>
  </w:style>
  <w:style w:type="character" w:customStyle="1" w:styleId="mjxassistivemathml">
    <w:name w:val="mjx_assistive_mathml"/>
    <w:basedOn w:val="DefaultParagraphFont"/>
    <w:rsid w:val="00F422D7"/>
  </w:style>
  <w:style w:type="character" w:customStyle="1" w:styleId="toctoggle">
    <w:name w:val="toc_toggle"/>
    <w:basedOn w:val="DefaultParagraphFont"/>
    <w:rsid w:val="00F422D7"/>
  </w:style>
  <w:style w:type="character" w:customStyle="1" w:styleId="thetime">
    <w:name w:val="thetime"/>
    <w:basedOn w:val="DefaultParagraphFont"/>
    <w:rsid w:val="00F422D7"/>
  </w:style>
  <w:style w:type="character" w:customStyle="1" w:styleId="a">
    <w:name w:val="a"/>
    <w:basedOn w:val="DefaultParagraphFont"/>
    <w:rsid w:val="00F422D7"/>
  </w:style>
  <w:style w:type="character" w:customStyle="1" w:styleId="l6">
    <w:name w:val="l6"/>
    <w:basedOn w:val="DefaultParagraphFont"/>
    <w:rsid w:val="00F422D7"/>
  </w:style>
  <w:style w:type="character" w:customStyle="1" w:styleId="caps">
    <w:name w:val="caps"/>
    <w:basedOn w:val="DefaultParagraphFont"/>
    <w:rsid w:val="00F422D7"/>
  </w:style>
  <w:style w:type="character" w:customStyle="1" w:styleId="jw-volume-update">
    <w:name w:val="jw-volume-update"/>
    <w:basedOn w:val="DefaultParagraphFont"/>
    <w:rsid w:val="00F422D7"/>
  </w:style>
  <w:style w:type="character" w:customStyle="1" w:styleId="katex-mathml">
    <w:name w:val="katex-mathml"/>
    <w:basedOn w:val="DefaultParagraphFont"/>
    <w:rsid w:val="00F422D7"/>
  </w:style>
  <w:style w:type="character" w:customStyle="1" w:styleId="mord">
    <w:name w:val="mord"/>
    <w:basedOn w:val="DefaultParagraphFont"/>
    <w:rsid w:val="00F422D7"/>
  </w:style>
  <w:style w:type="character" w:customStyle="1" w:styleId="vlist-s">
    <w:name w:val="vlist-s"/>
    <w:basedOn w:val="DefaultParagraphFont"/>
    <w:rsid w:val="00F422D7"/>
  </w:style>
  <w:style w:type="character" w:customStyle="1" w:styleId="mrel">
    <w:name w:val="mrel"/>
    <w:basedOn w:val="DefaultParagraphFont"/>
    <w:rsid w:val="00F422D7"/>
  </w:style>
  <w:style w:type="character" w:customStyle="1" w:styleId="mbin">
    <w:name w:val="mbin"/>
    <w:basedOn w:val="DefaultParagraphFont"/>
    <w:rsid w:val="00F422D7"/>
  </w:style>
  <w:style w:type="character" w:customStyle="1" w:styleId="mntl-inline-citation">
    <w:name w:val="mntl-inline-citation"/>
    <w:basedOn w:val="DefaultParagraphFont"/>
    <w:rsid w:val="00F422D7"/>
  </w:style>
  <w:style w:type="character" w:customStyle="1" w:styleId="mtight">
    <w:name w:val="mtight"/>
    <w:basedOn w:val="DefaultParagraphFont"/>
    <w:rsid w:val="00F422D7"/>
  </w:style>
  <w:style w:type="character" w:customStyle="1" w:styleId="toctogglespan">
    <w:name w:val="toctogglespan"/>
    <w:basedOn w:val="DefaultParagraphFont"/>
    <w:rsid w:val="00F422D7"/>
  </w:style>
  <w:style w:type="character" w:customStyle="1" w:styleId="tocnumber">
    <w:name w:val="tocnumber"/>
    <w:basedOn w:val="DefaultParagraphFont"/>
    <w:rsid w:val="00F422D7"/>
  </w:style>
  <w:style w:type="character" w:customStyle="1" w:styleId="toctext">
    <w:name w:val="toctext"/>
    <w:basedOn w:val="DefaultParagraphFont"/>
    <w:rsid w:val="00F422D7"/>
  </w:style>
  <w:style w:type="character" w:customStyle="1" w:styleId="nowrap">
    <w:name w:val="nowrap"/>
    <w:basedOn w:val="DefaultParagraphFont"/>
    <w:rsid w:val="00F422D7"/>
  </w:style>
  <w:style w:type="character" w:customStyle="1" w:styleId="mwe-math-element">
    <w:name w:val="mwe-math-element"/>
    <w:basedOn w:val="DefaultParagraphFont"/>
    <w:rsid w:val="00F422D7"/>
  </w:style>
  <w:style w:type="character" w:customStyle="1" w:styleId="ezoic-ad">
    <w:name w:val="ezoic-ad"/>
    <w:basedOn w:val="DefaultParagraphFont"/>
    <w:rsid w:val="00F422D7"/>
  </w:style>
  <w:style w:type="character" w:customStyle="1" w:styleId="cat-links">
    <w:name w:val="cat-links"/>
    <w:basedOn w:val="DefaultParagraphFont"/>
    <w:rsid w:val="00F422D7"/>
  </w:style>
  <w:style w:type="character" w:customStyle="1" w:styleId="screen-reader-text">
    <w:name w:val="screen-reader-text"/>
    <w:basedOn w:val="DefaultParagraphFont"/>
    <w:rsid w:val="00F422D7"/>
  </w:style>
  <w:style w:type="paragraph" w:styleId="z-TopofForm">
    <w:name w:val="HTML Top of Form"/>
    <w:basedOn w:val="Normal"/>
    <w:next w:val="Normal"/>
    <w:link w:val="z-TopofFormChar"/>
    <w:hidden/>
    <w:uiPriority w:val="99"/>
    <w:semiHidden/>
    <w:unhideWhenUsed/>
    <w:rsid w:val="00F422D7"/>
    <w:pPr>
      <w:pBdr>
        <w:bottom w:val="single" w:sz="6" w:space="1" w:color="auto"/>
      </w:pBdr>
      <w:spacing w:line="276" w:lineRule="auto"/>
      <w:ind w:left="0" w:firstLine="0"/>
      <w:jc w:val="center"/>
    </w:pPr>
    <w:rPr>
      <w:rFonts w:ascii="Arial" w:eastAsiaTheme="minorHAnsi" w:hAnsi="Arial" w:cs="Arial"/>
      <w:vanish/>
      <w:color w:val="auto"/>
      <w:sz w:val="16"/>
      <w:szCs w:val="16"/>
    </w:rPr>
  </w:style>
  <w:style w:type="character" w:customStyle="1" w:styleId="z-TopofFormChar">
    <w:name w:val="z-Top of Form Char"/>
    <w:basedOn w:val="DefaultParagraphFont"/>
    <w:link w:val="z-TopofForm"/>
    <w:uiPriority w:val="99"/>
    <w:semiHidden/>
    <w:rsid w:val="00F422D7"/>
    <w:rPr>
      <w:rFonts w:ascii="Arial" w:hAnsi="Arial" w:cs="Arial"/>
      <w:vanish/>
      <w:color w:val="auto"/>
    </w:rPr>
  </w:style>
  <w:style w:type="character" w:customStyle="1" w:styleId="tcb-button-text">
    <w:name w:val="tcb-button-text"/>
    <w:basedOn w:val="DefaultParagraphFont"/>
    <w:rsid w:val="00F422D7"/>
  </w:style>
  <w:style w:type="paragraph" w:styleId="z-BottomofForm">
    <w:name w:val="HTML Bottom of Form"/>
    <w:basedOn w:val="Normal"/>
    <w:next w:val="Normal"/>
    <w:link w:val="z-BottomofFormChar"/>
    <w:hidden/>
    <w:uiPriority w:val="99"/>
    <w:semiHidden/>
    <w:unhideWhenUsed/>
    <w:rsid w:val="00F422D7"/>
    <w:pPr>
      <w:pBdr>
        <w:top w:val="single" w:sz="6" w:space="1" w:color="auto"/>
      </w:pBdr>
      <w:spacing w:line="276" w:lineRule="auto"/>
      <w:ind w:left="0" w:firstLine="0"/>
      <w:jc w:val="center"/>
    </w:pPr>
    <w:rPr>
      <w:rFonts w:ascii="Arial" w:eastAsiaTheme="minorHAnsi" w:hAnsi="Arial" w:cs="Arial"/>
      <w:vanish/>
      <w:color w:val="auto"/>
      <w:sz w:val="16"/>
      <w:szCs w:val="16"/>
    </w:rPr>
  </w:style>
  <w:style w:type="character" w:customStyle="1" w:styleId="z-BottomofFormChar">
    <w:name w:val="z-Bottom of Form Char"/>
    <w:basedOn w:val="DefaultParagraphFont"/>
    <w:link w:val="z-BottomofForm"/>
    <w:uiPriority w:val="99"/>
    <w:semiHidden/>
    <w:rsid w:val="00F422D7"/>
    <w:rPr>
      <w:rFonts w:ascii="Arial" w:hAnsi="Arial" w:cs="Arial"/>
      <w:vanish/>
      <w:color w:val="auto"/>
    </w:rPr>
  </w:style>
  <w:style w:type="character" w:customStyle="1" w:styleId="wsm-tooltip">
    <w:name w:val="wsm-tooltip"/>
    <w:basedOn w:val="DefaultParagraphFont"/>
    <w:rsid w:val="00F422D7"/>
  </w:style>
  <w:style w:type="character" w:customStyle="1" w:styleId="wsmimgcrd-tooltip">
    <w:name w:val="wsmimgcrd-tooltip"/>
    <w:basedOn w:val="DefaultParagraphFont"/>
    <w:rsid w:val="00F422D7"/>
  </w:style>
  <w:style w:type="character" w:customStyle="1" w:styleId="mntl-sc-block-subheadingtext">
    <w:name w:val="mntl-sc-block-subheading__text"/>
    <w:basedOn w:val="DefaultParagraphFont"/>
    <w:rsid w:val="00F422D7"/>
  </w:style>
  <w:style w:type="character" w:customStyle="1" w:styleId="article-info-label">
    <w:name w:val="article-info-label"/>
    <w:basedOn w:val="DefaultParagraphFont"/>
    <w:rsid w:val="00F422D7"/>
  </w:style>
  <w:style w:type="character" w:customStyle="1" w:styleId="bbcu">
    <w:name w:val="bbc_u"/>
    <w:basedOn w:val="DefaultParagraphFont"/>
    <w:rsid w:val="00F422D7"/>
  </w:style>
  <w:style w:type="character" w:customStyle="1" w:styleId="mw-reflink-text">
    <w:name w:val="mw-reflink-text"/>
    <w:basedOn w:val="DefaultParagraphFont"/>
    <w:rsid w:val="00F422D7"/>
  </w:style>
  <w:style w:type="table" w:styleId="PlainTable1">
    <w:name w:val="Plain Table 1"/>
    <w:basedOn w:val="TableNormal"/>
    <w:uiPriority w:val="41"/>
    <w:rsid w:val="00F422D7"/>
    <w:pPr>
      <w:spacing w:line="240" w:lineRule="auto"/>
      <w:ind w:left="0" w:firstLine="0"/>
      <w:jc w:val="left"/>
    </w:pPr>
    <w:rPr>
      <w:rFonts w:asciiTheme="minorHAnsi" w:hAnsiTheme="minorHAnsi" w:cstheme="minorBidi"/>
      <w:color w:val="auto"/>
      <w:sz w:val="22"/>
      <w:szCs w:val="22"/>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F422D7"/>
    <w:pPr>
      <w:spacing w:line="240" w:lineRule="auto"/>
      <w:ind w:left="0" w:firstLine="0"/>
      <w:jc w:val="left"/>
    </w:pPr>
    <w:rPr>
      <w:rFonts w:asciiTheme="minorHAnsi" w:hAnsiTheme="minorHAnsi" w:cstheme="minorBidi"/>
      <w:color w:val="auto"/>
      <w:sz w:val="22"/>
      <w:szCs w:val="22"/>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F422D7"/>
    <w:pPr>
      <w:spacing w:line="240" w:lineRule="auto"/>
      <w:ind w:left="0" w:firstLine="0"/>
      <w:jc w:val="left"/>
    </w:pPr>
    <w:rPr>
      <w:rFonts w:asciiTheme="minorHAnsi" w:hAnsiTheme="minorHAnsi" w:cstheme="minorBidi"/>
      <w:color w:val="auto"/>
      <w:sz w:val="22"/>
      <w:szCs w:val="22"/>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googqs-tidbit1">
    <w:name w:val="goog_qs-tidbit1"/>
    <w:basedOn w:val="DefaultParagraphFont"/>
    <w:rsid w:val="00F422D7"/>
    <w:rPr>
      <w:vanish/>
      <w:webHidden w:val="0"/>
      <w:specVanish/>
    </w:rPr>
  </w:style>
  <w:style w:type="character" w:customStyle="1" w:styleId="ff3">
    <w:name w:val="ff3"/>
    <w:basedOn w:val="DefaultParagraphFont"/>
    <w:rsid w:val="00F422D7"/>
  </w:style>
  <w:style w:type="character" w:customStyle="1" w:styleId="a4">
    <w:name w:val="_"/>
    <w:basedOn w:val="DefaultParagraphFont"/>
    <w:rsid w:val="00F422D7"/>
  </w:style>
  <w:style w:type="character" w:customStyle="1" w:styleId="ff2">
    <w:name w:val="ff2"/>
    <w:basedOn w:val="DefaultParagraphFont"/>
    <w:rsid w:val="00F422D7"/>
  </w:style>
  <w:style w:type="character" w:customStyle="1" w:styleId="ls2">
    <w:name w:val="ls2"/>
    <w:basedOn w:val="DefaultParagraphFont"/>
    <w:rsid w:val="00F422D7"/>
  </w:style>
  <w:style w:type="character" w:customStyle="1" w:styleId="ui-jqgrid-title">
    <w:name w:val="ui-jqgrid-title"/>
    <w:basedOn w:val="DefaultParagraphFont"/>
    <w:rsid w:val="00F422D7"/>
  </w:style>
  <w:style w:type="character" w:customStyle="1" w:styleId="ui-jqgrid-resize">
    <w:name w:val="ui-jqgrid-resize"/>
    <w:basedOn w:val="DefaultParagraphFont"/>
    <w:rsid w:val="00F422D7"/>
  </w:style>
  <w:style w:type="character" w:customStyle="1" w:styleId="jw-time-update">
    <w:name w:val="jw-time-update"/>
    <w:basedOn w:val="DefaultParagraphFont"/>
    <w:rsid w:val="00F422D7"/>
  </w:style>
  <w:style w:type="character" w:customStyle="1" w:styleId="value">
    <w:name w:val="value"/>
    <w:basedOn w:val="DefaultParagraphFont"/>
    <w:rsid w:val="008B47EA"/>
  </w:style>
  <w:style w:type="table" w:customStyle="1" w:styleId="TableGrid4">
    <w:name w:val="Table Grid4"/>
    <w:basedOn w:val="TableNormal"/>
    <w:next w:val="TableGrid"/>
    <w:uiPriority w:val="39"/>
    <w:rsid w:val="00F72331"/>
    <w:pPr>
      <w:spacing w:line="240" w:lineRule="auto"/>
      <w:ind w:left="-397" w:right="-964" w:firstLine="0"/>
      <w:jc w:val="left"/>
    </w:pPr>
    <w:rPr>
      <w:rFonts w:asciiTheme="minorHAnsi" w:hAnsiTheme="minorHAnsi" w:cstheme="minorBidi"/>
      <w:color w:val="auto"/>
      <w:sz w:val="22"/>
      <w:szCs w:val="22"/>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72331"/>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3-Accent1">
    <w:name w:val="Grid Table 3 Accent 1"/>
    <w:basedOn w:val="TableNormal"/>
    <w:uiPriority w:val="48"/>
    <w:rsid w:val="00F72331"/>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4-Accent5">
    <w:name w:val="Grid Table 4 Accent 5"/>
    <w:basedOn w:val="TableNormal"/>
    <w:uiPriority w:val="49"/>
    <w:rsid w:val="00F72331"/>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F72331"/>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
    <w:name w:val="Grid Table 4"/>
    <w:basedOn w:val="TableNormal"/>
    <w:uiPriority w:val="49"/>
    <w:rsid w:val="00F72331"/>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4">
    <w:name w:val="Grid Table 4 Accent 4"/>
    <w:basedOn w:val="TableNormal"/>
    <w:uiPriority w:val="49"/>
    <w:rsid w:val="00F72331"/>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F72331"/>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5Dark-Accent2">
    <w:name w:val="Grid Table 5 Dark Accent 2"/>
    <w:basedOn w:val="TableNormal"/>
    <w:uiPriority w:val="50"/>
    <w:rsid w:val="00F72331"/>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F72331"/>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1">
    <w:name w:val="Grid Table 5 Dark Accent 1"/>
    <w:basedOn w:val="TableNormal"/>
    <w:uiPriority w:val="50"/>
    <w:rsid w:val="00F72331"/>
    <w:pPr>
      <w:spacing w:line="240" w:lineRule="auto"/>
      <w:ind w:left="0" w:firstLine="0"/>
      <w:jc w:val="left"/>
    </w:pPr>
    <w:rPr>
      <w:rFonts w:asciiTheme="minorHAnsi" w:hAnsiTheme="minorHAnsi" w:cstheme="minorBidi"/>
      <w:color w:val="auto"/>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ls14">
    <w:name w:val="ls14"/>
    <w:basedOn w:val="DefaultParagraphFont"/>
    <w:rsid w:val="00F72331"/>
  </w:style>
  <w:style w:type="character" w:customStyle="1" w:styleId="anchor-text">
    <w:name w:val="anchor-text"/>
    <w:basedOn w:val="DefaultParagraphFont"/>
    <w:rsid w:val="00F72331"/>
  </w:style>
  <w:style w:type="character" w:customStyle="1" w:styleId="u-text-bold">
    <w:name w:val="u-text-bold"/>
    <w:basedOn w:val="DefaultParagraphFont"/>
    <w:rsid w:val="00F72331"/>
  </w:style>
  <w:style w:type="character" w:customStyle="1" w:styleId="c-bibliographic-informationvalue">
    <w:name w:val="c-bibliographic-information__value"/>
    <w:basedOn w:val="DefaultParagraphFont"/>
    <w:rsid w:val="00F72331"/>
  </w:style>
  <w:style w:type="character" w:customStyle="1" w:styleId="mf-jss1173">
    <w:name w:val="mf-jss1173"/>
    <w:basedOn w:val="DefaultParagraphFont"/>
    <w:rsid w:val="008711ED"/>
  </w:style>
  <w:style w:type="character" w:customStyle="1" w:styleId="given-name">
    <w:name w:val="given-name"/>
    <w:basedOn w:val="DefaultParagraphFont"/>
    <w:rsid w:val="00FB2B13"/>
  </w:style>
  <w:style w:type="paragraph" w:customStyle="1" w:styleId="hiddenvp">
    <w:name w:val="hidden_vp"/>
    <w:basedOn w:val="Normal"/>
    <w:rsid w:val="00244C19"/>
    <w:pPr>
      <w:spacing w:before="100" w:beforeAutospacing="1" w:after="100" w:afterAutospacing="1"/>
      <w:ind w:left="0" w:firstLine="0"/>
      <w:jc w:val="left"/>
    </w:pPr>
    <w:rPr>
      <w:color w:val="auto"/>
    </w:rPr>
  </w:style>
  <w:style w:type="character" w:customStyle="1" w:styleId="ref-lnk">
    <w:name w:val="ref-lnk"/>
    <w:basedOn w:val="DefaultParagraphFont"/>
    <w:rsid w:val="00244C19"/>
  </w:style>
  <w:style w:type="character" w:customStyle="1" w:styleId="contribdegrees">
    <w:name w:val="contribdegrees"/>
    <w:basedOn w:val="DefaultParagraphFont"/>
    <w:rsid w:val="00244C19"/>
  </w:style>
  <w:style w:type="paragraph" w:customStyle="1" w:styleId="ds-paragraph">
    <w:name w:val="ds-paragraph"/>
    <w:basedOn w:val="Normal"/>
    <w:rsid w:val="00244C19"/>
    <w:pPr>
      <w:spacing w:before="100" w:beforeAutospacing="1" w:after="100" w:afterAutospacing="1"/>
      <w:ind w:left="0" w:firstLine="0"/>
      <w:jc w:val="left"/>
    </w:pPr>
    <w:rPr>
      <w:color w:val="auto"/>
    </w:rPr>
  </w:style>
  <w:style w:type="character" w:customStyle="1" w:styleId="singlehighlightclass">
    <w:name w:val="single_highlight_class"/>
    <w:basedOn w:val="DefaultParagraphFont"/>
    <w:rsid w:val="00244C19"/>
  </w:style>
  <w:style w:type="paragraph" w:customStyle="1" w:styleId="ibm-northstart-documentation-information-data">
    <w:name w:val="ibm-northstart-documentation-information-data"/>
    <w:basedOn w:val="Normal"/>
    <w:rsid w:val="00244C19"/>
    <w:pPr>
      <w:spacing w:before="100" w:beforeAutospacing="1" w:after="100" w:afterAutospacing="1"/>
      <w:ind w:left="0" w:firstLine="0"/>
      <w:jc w:val="left"/>
    </w:pPr>
    <w:rPr>
      <w:color w:val="auto"/>
    </w:rPr>
  </w:style>
  <w:style w:type="character" w:customStyle="1" w:styleId="topic-highlight">
    <w:name w:val="topic-highlight"/>
    <w:basedOn w:val="DefaultParagraphFont"/>
    <w:rsid w:val="00244C19"/>
  </w:style>
  <w:style w:type="character" w:customStyle="1" w:styleId="pageheading">
    <w:name w:val="pageheading"/>
    <w:basedOn w:val="DefaultParagraphFont"/>
    <w:rsid w:val="00244C19"/>
  </w:style>
  <w:style w:type="character" w:customStyle="1" w:styleId="prevyear">
    <w:name w:val="prevyear"/>
    <w:basedOn w:val="DefaultParagraphFont"/>
    <w:rsid w:val="00244C19"/>
  </w:style>
  <w:style w:type="character" w:customStyle="1" w:styleId="reflink-block">
    <w:name w:val="reflink-block"/>
    <w:basedOn w:val="DefaultParagraphFont"/>
    <w:rsid w:val="00244C19"/>
  </w:style>
  <w:style w:type="character" w:customStyle="1" w:styleId="googlescholar-container">
    <w:name w:val="googlescholar-container"/>
    <w:basedOn w:val="DefaultParagraphFont"/>
    <w:rsid w:val="00244C19"/>
  </w:style>
  <w:style w:type="character" w:customStyle="1" w:styleId="nlmedition">
    <w:name w:val="nlm_edition"/>
    <w:basedOn w:val="DefaultParagraphFont"/>
    <w:rsid w:val="00244C19"/>
  </w:style>
  <w:style w:type="character" w:customStyle="1" w:styleId="text-en">
    <w:name w:val="text-en"/>
    <w:basedOn w:val="DefaultParagraphFont"/>
    <w:rsid w:val="00244C19"/>
  </w:style>
  <w:style w:type="character" w:customStyle="1" w:styleId="num-en">
    <w:name w:val="num-en"/>
    <w:basedOn w:val="DefaultParagraphFont"/>
    <w:rsid w:val="00244C19"/>
  </w:style>
  <w:style w:type="paragraph" w:customStyle="1" w:styleId="ssc">
    <w:name w:val="ssc"/>
    <w:basedOn w:val="Normal"/>
    <w:rsid w:val="00244C19"/>
    <w:pPr>
      <w:spacing w:before="100" w:beforeAutospacing="1" w:after="100" w:afterAutospacing="1"/>
      <w:ind w:left="0" w:firstLine="0"/>
      <w:jc w:val="left"/>
    </w:pPr>
    <w:rPr>
      <w:color w:val="auto"/>
    </w:rPr>
  </w:style>
  <w:style w:type="paragraph" w:customStyle="1" w:styleId="ssc-b">
    <w:name w:val="ssc-b"/>
    <w:basedOn w:val="Normal"/>
    <w:rsid w:val="00244C19"/>
    <w:pPr>
      <w:spacing w:before="100" w:beforeAutospacing="1" w:after="100" w:afterAutospacing="1"/>
      <w:ind w:left="0" w:firstLine="0"/>
      <w:jc w:val="left"/>
    </w:pPr>
    <w:rPr>
      <w:color w:val="auto"/>
    </w:rPr>
  </w:style>
  <w:style w:type="character" w:customStyle="1" w:styleId="cursor-pointer">
    <w:name w:val="cursor-pointer"/>
    <w:basedOn w:val="DefaultParagraphFont"/>
    <w:rsid w:val="00244C19"/>
  </w:style>
  <w:style w:type="character" w:customStyle="1" w:styleId="Style1Char">
    <w:name w:val="Style1 Char"/>
    <w:basedOn w:val="Heading1Char"/>
    <w:rsid w:val="00244C19"/>
    <w:rPr>
      <w:rFonts w:ascii="Times New Roman" w:eastAsia="SimSun" w:hAnsi="Times New Roman"/>
      <w:b/>
      <w:bCs/>
      <w:color w:val="000000" w:themeColor="text1"/>
      <w:sz w:val="52"/>
      <w:szCs w:val="20"/>
      <w:lang w:val="en-MY" w:eastAsia="en-MY"/>
    </w:rPr>
  </w:style>
  <w:style w:type="character" w:customStyle="1" w:styleId="UnresolvedMention9">
    <w:name w:val="Unresolved Mention9"/>
    <w:basedOn w:val="DefaultParagraphFont"/>
    <w:uiPriority w:val="99"/>
    <w:semiHidden/>
    <w:unhideWhenUsed/>
    <w:rsid w:val="00AB7D90"/>
    <w:rPr>
      <w:color w:val="605E5C"/>
      <w:shd w:val="clear" w:color="auto" w:fill="E1DFDD"/>
    </w:rPr>
  </w:style>
  <w:style w:type="character" w:customStyle="1" w:styleId="UnresolvedMention10">
    <w:name w:val="Unresolved Mention10"/>
    <w:basedOn w:val="DefaultParagraphFont"/>
    <w:uiPriority w:val="99"/>
    <w:semiHidden/>
    <w:unhideWhenUsed/>
    <w:rsid w:val="00636470"/>
    <w:rPr>
      <w:color w:val="605E5C"/>
      <w:shd w:val="clear" w:color="auto" w:fill="E1DFDD"/>
    </w:rPr>
  </w:style>
  <w:style w:type="character" w:customStyle="1" w:styleId="label">
    <w:name w:val="label"/>
    <w:basedOn w:val="DefaultParagraphFont"/>
    <w:rsid w:val="005A468F"/>
  </w:style>
  <w:style w:type="character" w:customStyle="1" w:styleId="querysrchtext">
    <w:name w:val="querysrchtext"/>
    <w:basedOn w:val="DefaultParagraphFont"/>
    <w:rsid w:val="00E71EC9"/>
  </w:style>
  <w:style w:type="character" w:customStyle="1" w:styleId="queryoperator">
    <w:name w:val="queryoperator"/>
    <w:basedOn w:val="DefaultParagraphFont"/>
    <w:rsid w:val="00E71EC9"/>
  </w:style>
  <w:style w:type="character" w:customStyle="1" w:styleId="css-0">
    <w:name w:val="css-0"/>
    <w:basedOn w:val="DefaultParagraphFont"/>
    <w:rsid w:val="00E71EC9"/>
  </w:style>
  <w:style w:type="character" w:customStyle="1" w:styleId="css-rh820s">
    <w:name w:val="css-rh820s"/>
    <w:basedOn w:val="DefaultParagraphFont"/>
    <w:rsid w:val="00E71EC9"/>
  </w:style>
  <w:style w:type="character" w:customStyle="1" w:styleId="css-1r2zsjf">
    <w:name w:val="css-1r2zsjf"/>
    <w:basedOn w:val="DefaultParagraphFont"/>
    <w:rsid w:val="00E71EC9"/>
  </w:style>
  <w:style w:type="character" w:customStyle="1" w:styleId="css-jfkv2d">
    <w:name w:val="css-jfkv2d"/>
    <w:basedOn w:val="DefaultParagraphFont"/>
    <w:rsid w:val="00E71EC9"/>
  </w:style>
  <w:style w:type="character" w:customStyle="1" w:styleId="css-15iwe0d">
    <w:name w:val="css-15iwe0d"/>
    <w:basedOn w:val="DefaultParagraphFont"/>
    <w:rsid w:val="00E71EC9"/>
  </w:style>
  <w:style w:type="character" w:customStyle="1" w:styleId="css-1eh0vfs">
    <w:name w:val="css-1eh0vfs"/>
    <w:basedOn w:val="DefaultParagraphFont"/>
    <w:rsid w:val="00E71EC9"/>
  </w:style>
  <w:style w:type="character" w:customStyle="1" w:styleId="css-2yp7ui">
    <w:name w:val="css-2yp7ui"/>
    <w:basedOn w:val="DefaultParagraphFont"/>
    <w:rsid w:val="00E71EC9"/>
  </w:style>
  <w:style w:type="character" w:customStyle="1" w:styleId="anchortext">
    <w:name w:val="anchortext"/>
    <w:basedOn w:val="DefaultParagraphFont"/>
    <w:rsid w:val="00E71EC9"/>
  </w:style>
  <w:style w:type="character" w:customStyle="1" w:styleId="typography7703cb">
    <w:name w:val="typography_7703cb"/>
    <w:basedOn w:val="DefaultParagraphFont"/>
    <w:rsid w:val="00E71EC9"/>
  </w:style>
  <w:style w:type="character" w:customStyle="1" w:styleId="css-1ber87j">
    <w:name w:val="css-1ber87j"/>
    <w:basedOn w:val="DefaultParagraphFont"/>
    <w:rsid w:val="00E71EC9"/>
  </w:style>
  <w:style w:type="character" w:customStyle="1" w:styleId="css-x5hiaf">
    <w:name w:val="css-x5hiaf"/>
    <w:basedOn w:val="DefaultParagraphFont"/>
    <w:rsid w:val="00E71EC9"/>
  </w:style>
  <w:style w:type="character" w:customStyle="1" w:styleId="match">
    <w:name w:val="match"/>
    <w:basedOn w:val="DefaultParagraphFont"/>
    <w:rsid w:val="00467929"/>
  </w:style>
  <w:style w:type="character" w:customStyle="1" w:styleId="UnresolvedMention11">
    <w:name w:val="Unresolved Mention11"/>
    <w:basedOn w:val="DefaultParagraphFont"/>
    <w:uiPriority w:val="99"/>
    <w:semiHidden/>
    <w:unhideWhenUsed/>
    <w:rsid w:val="00161F28"/>
    <w:rPr>
      <w:color w:val="605E5C"/>
      <w:shd w:val="clear" w:color="auto" w:fill="E1DFDD"/>
    </w:rPr>
  </w:style>
  <w:style w:type="character" w:customStyle="1" w:styleId="UnresolvedMention12">
    <w:name w:val="Unresolved Mention12"/>
    <w:basedOn w:val="DefaultParagraphFont"/>
    <w:uiPriority w:val="99"/>
    <w:semiHidden/>
    <w:unhideWhenUsed/>
    <w:rsid w:val="002B4E41"/>
    <w:rPr>
      <w:color w:val="605E5C"/>
      <w:shd w:val="clear" w:color="auto" w:fill="E1DFDD"/>
    </w:rPr>
  </w:style>
  <w:style w:type="character" w:customStyle="1" w:styleId="issue-underline">
    <w:name w:val="issue-underline"/>
    <w:basedOn w:val="DefaultParagraphFont"/>
    <w:rsid w:val="001D34C1"/>
  </w:style>
  <w:style w:type="character" w:customStyle="1" w:styleId="markedcontent">
    <w:name w:val="markedcontent"/>
    <w:basedOn w:val="DefaultParagraphFont"/>
    <w:rsid w:val="007E1F8A"/>
  </w:style>
  <w:style w:type="character" w:customStyle="1" w:styleId="author">
    <w:name w:val="author"/>
    <w:basedOn w:val="DefaultParagraphFont"/>
    <w:rsid w:val="007E1F8A"/>
  </w:style>
  <w:style w:type="character" w:customStyle="1" w:styleId="c-pjlv">
    <w:name w:val="c-pjlv"/>
    <w:basedOn w:val="DefaultParagraphFont"/>
    <w:rsid w:val="007E1F8A"/>
  </w:style>
  <w:style w:type="character" w:styleId="UnresolvedMention">
    <w:name w:val="Unresolved Mention"/>
    <w:basedOn w:val="DefaultParagraphFont"/>
    <w:uiPriority w:val="99"/>
    <w:semiHidden/>
    <w:unhideWhenUsed/>
    <w:rsid w:val="004372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0728">
      <w:bodyDiv w:val="1"/>
      <w:marLeft w:val="0"/>
      <w:marRight w:val="0"/>
      <w:marTop w:val="0"/>
      <w:marBottom w:val="0"/>
      <w:divBdr>
        <w:top w:val="none" w:sz="0" w:space="0" w:color="auto"/>
        <w:left w:val="none" w:sz="0" w:space="0" w:color="auto"/>
        <w:bottom w:val="none" w:sz="0" w:space="0" w:color="auto"/>
        <w:right w:val="none" w:sz="0" w:space="0" w:color="auto"/>
      </w:divBdr>
    </w:div>
    <w:div w:id="196355758">
      <w:bodyDiv w:val="1"/>
      <w:marLeft w:val="0"/>
      <w:marRight w:val="0"/>
      <w:marTop w:val="0"/>
      <w:marBottom w:val="0"/>
      <w:divBdr>
        <w:top w:val="none" w:sz="0" w:space="0" w:color="auto"/>
        <w:left w:val="none" w:sz="0" w:space="0" w:color="auto"/>
        <w:bottom w:val="none" w:sz="0" w:space="0" w:color="auto"/>
        <w:right w:val="none" w:sz="0" w:space="0" w:color="auto"/>
      </w:divBdr>
      <w:divsChild>
        <w:div w:id="1590850048">
          <w:marLeft w:val="0"/>
          <w:marRight w:val="0"/>
          <w:marTop w:val="0"/>
          <w:marBottom w:val="0"/>
          <w:divBdr>
            <w:top w:val="none" w:sz="0" w:space="0" w:color="auto"/>
            <w:left w:val="none" w:sz="0" w:space="0" w:color="auto"/>
            <w:bottom w:val="none" w:sz="0" w:space="0" w:color="auto"/>
            <w:right w:val="none" w:sz="0" w:space="0" w:color="auto"/>
          </w:divBdr>
          <w:divsChild>
            <w:div w:id="840899455">
              <w:marLeft w:val="0"/>
              <w:marRight w:val="0"/>
              <w:marTop w:val="0"/>
              <w:marBottom w:val="0"/>
              <w:divBdr>
                <w:top w:val="single" w:sz="2" w:space="0" w:color="EFEFEF"/>
                <w:left w:val="none" w:sz="0" w:space="0" w:color="auto"/>
                <w:bottom w:val="none" w:sz="0" w:space="0" w:color="auto"/>
                <w:right w:val="none" w:sz="0" w:space="0" w:color="auto"/>
              </w:divBdr>
              <w:divsChild>
                <w:div w:id="1517845994">
                  <w:marLeft w:val="0"/>
                  <w:marRight w:val="0"/>
                  <w:marTop w:val="0"/>
                  <w:marBottom w:val="0"/>
                  <w:divBdr>
                    <w:top w:val="single" w:sz="6" w:space="0" w:color="auto"/>
                    <w:left w:val="none" w:sz="0" w:space="0" w:color="auto"/>
                    <w:bottom w:val="none" w:sz="0" w:space="0" w:color="auto"/>
                    <w:right w:val="none" w:sz="0" w:space="0" w:color="auto"/>
                  </w:divBdr>
                  <w:divsChild>
                    <w:div w:id="298657774">
                      <w:marLeft w:val="0"/>
                      <w:marRight w:val="0"/>
                      <w:marTop w:val="0"/>
                      <w:marBottom w:val="0"/>
                      <w:divBdr>
                        <w:top w:val="none" w:sz="0" w:space="0" w:color="auto"/>
                        <w:left w:val="none" w:sz="0" w:space="0" w:color="auto"/>
                        <w:bottom w:val="none" w:sz="0" w:space="0" w:color="auto"/>
                        <w:right w:val="none" w:sz="0" w:space="0" w:color="auto"/>
                      </w:divBdr>
                      <w:divsChild>
                        <w:div w:id="1803494139">
                          <w:marLeft w:val="0"/>
                          <w:marRight w:val="0"/>
                          <w:marTop w:val="0"/>
                          <w:marBottom w:val="0"/>
                          <w:divBdr>
                            <w:top w:val="none" w:sz="0" w:space="0" w:color="auto"/>
                            <w:left w:val="none" w:sz="0" w:space="0" w:color="auto"/>
                            <w:bottom w:val="none" w:sz="0" w:space="0" w:color="auto"/>
                            <w:right w:val="none" w:sz="0" w:space="0" w:color="auto"/>
                          </w:divBdr>
                          <w:divsChild>
                            <w:div w:id="1387680246">
                              <w:marLeft w:val="0"/>
                              <w:marRight w:val="0"/>
                              <w:marTop w:val="0"/>
                              <w:marBottom w:val="0"/>
                              <w:divBdr>
                                <w:top w:val="none" w:sz="0" w:space="0" w:color="auto"/>
                                <w:left w:val="none" w:sz="0" w:space="0" w:color="auto"/>
                                <w:bottom w:val="none" w:sz="0" w:space="0" w:color="auto"/>
                                <w:right w:val="none" w:sz="0" w:space="0" w:color="auto"/>
                              </w:divBdr>
                              <w:divsChild>
                                <w:div w:id="773017356">
                                  <w:marLeft w:val="0"/>
                                  <w:marRight w:val="0"/>
                                  <w:marTop w:val="0"/>
                                  <w:marBottom w:val="0"/>
                                  <w:divBdr>
                                    <w:top w:val="none" w:sz="0" w:space="0" w:color="auto"/>
                                    <w:left w:val="none" w:sz="0" w:space="0" w:color="auto"/>
                                    <w:bottom w:val="none" w:sz="0" w:space="0" w:color="auto"/>
                                    <w:right w:val="none" w:sz="0" w:space="0" w:color="auto"/>
                                  </w:divBdr>
                                  <w:divsChild>
                                    <w:div w:id="2144883205">
                                      <w:marLeft w:val="0"/>
                                      <w:marRight w:val="0"/>
                                      <w:marTop w:val="0"/>
                                      <w:marBottom w:val="0"/>
                                      <w:divBdr>
                                        <w:top w:val="none" w:sz="0" w:space="0" w:color="auto"/>
                                        <w:left w:val="none" w:sz="0" w:space="0" w:color="auto"/>
                                        <w:bottom w:val="none" w:sz="0" w:space="0" w:color="auto"/>
                                        <w:right w:val="none" w:sz="0" w:space="0" w:color="auto"/>
                                      </w:divBdr>
                                    </w:div>
                                  </w:divsChild>
                                </w:div>
                                <w:div w:id="1435979370">
                                  <w:marLeft w:val="0"/>
                                  <w:marRight w:val="0"/>
                                  <w:marTop w:val="0"/>
                                  <w:marBottom w:val="0"/>
                                  <w:divBdr>
                                    <w:top w:val="none" w:sz="0" w:space="0" w:color="auto"/>
                                    <w:left w:val="none" w:sz="0" w:space="0" w:color="auto"/>
                                    <w:bottom w:val="none" w:sz="0" w:space="0" w:color="auto"/>
                                    <w:right w:val="none" w:sz="0" w:space="0" w:color="auto"/>
                                  </w:divBdr>
                                  <w:divsChild>
                                    <w:div w:id="6187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8372018">
          <w:marLeft w:val="0"/>
          <w:marRight w:val="0"/>
          <w:marTop w:val="0"/>
          <w:marBottom w:val="0"/>
          <w:divBdr>
            <w:top w:val="none" w:sz="0" w:space="0" w:color="auto"/>
            <w:left w:val="none" w:sz="0" w:space="0" w:color="auto"/>
            <w:bottom w:val="none" w:sz="0" w:space="0" w:color="auto"/>
            <w:right w:val="none" w:sz="0" w:space="0" w:color="auto"/>
          </w:divBdr>
          <w:divsChild>
            <w:div w:id="1568804858">
              <w:marLeft w:val="0"/>
              <w:marRight w:val="0"/>
              <w:marTop w:val="0"/>
              <w:marBottom w:val="0"/>
              <w:divBdr>
                <w:top w:val="single" w:sz="2" w:space="0" w:color="EFEFEF"/>
                <w:left w:val="none" w:sz="0" w:space="0" w:color="auto"/>
                <w:bottom w:val="none" w:sz="0" w:space="0" w:color="auto"/>
                <w:right w:val="none" w:sz="0" w:space="0" w:color="auto"/>
              </w:divBdr>
              <w:divsChild>
                <w:div w:id="970481990">
                  <w:marLeft w:val="0"/>
                  <w:marRight w:val="0"/>
                  <w:marTop w:val="0"/>
                  <w:marBottom w:val="0"/>
                  <w:divBdr>
                    <w:top w:val="none" w:sz="0" w:space="0" w:color="auto"/>
                    <w:left w:val="none" w:sz="0" w:space="0" w:color="auto"/>
                    <w:bottom w:val="none" w:sz="0" w:space="0" w:color="auto"/>
                    <w:right w:val="none" w:sz="0" w:space="0" w:color="auto"/>
                  </w:divBdr>
                  <w:divsChild>
                    <w:div w:id="1869832330">
                      <w:marLeft w:val="0"/>
                      <w:marRight w:val="0"/>
                      <w:marTop w:val="0"/>
                      <w:marBottom w:val="0"/>
                      <w:divBdr>
                        <w:top w:val="none" w:sz="0" w:space="0" w:color="auto"/>
                        <w:left w:val="none" w:sz="0" w:space="0" w:color="auto"/>
                        <w:bottom w:val="none" w:sz="0" w:space="0" w:color="auto"/>
                        <w:right w:val="none" w:sz="0" w:space="0" w:color="auto"/>
                      </w:divBdr>
                      <w:divsChild>
                        <w:div w:id="1181702433">
                          <w:marLeft w:val="0"/>
                          <w:marRight w:val="0"/>
                          <w:marTop w:val="0"/>
                          <w:marBottom w:val="0"/>
                          <w:divBdr>
                            <w:top w:val="none" w:sz="0" w:space="0" w:color="auto"/>
                            <w:left w:val="none" w:sz="0" w:space="0" w:color="auto"/>
                            <w:bottom w:val="none" w:sz="0" w:space="0" w:color="auto"/>
                            <w:right w:val="none" w:sz="0" w:space="0" w:color="auto"/>
                          </w:divBdr>
                          <w:divsChild>
                            <w:div w:id="728847084">
                              <w:marLeft w:val="0"/>
                              <w:marRight w:val="0"/>
                              <w:marTop w:val="0"/>
                              <w:marBottom w:val="0"/>
                              <w:divBdr>
                                <w:top w:val="none" w:sz="0" w:space="0" w:color="auto"/>
                                <w:left w:val="none" w:sz="0" w:space="0" w:color="auto"/>
                                <w:bottom w:val="none" w:sz="0" w:space="0" w:color="auto"/>
                                <w:right w:val="none" w:sz="0" w:space="0" w:color="auto"/>
                              </w:divBdr>
                              <w:divsChild>
                                <w:div w:id="747263643">
                                  <w:marLeft w:val="0"/>
                                  <w:marRight w:val="0"/>
                                  <w:marTop w:val="0"/>
                                  <w:marBottom w:val="0"/>
                                  <w:divBdr>
                                    <w:top w:val="none" w:sz="0" w:space="0" w:color="auto"/>
                                    <w:left w:val="none" w:sz="0" w:space="0" w:color="auto"/>
                                    <w:bottom w:val="none" w:sz="0" w:space="0" w:color="auto"/>
                                    <w:right w:val="none" w:sz="0" w:space="0" w:color="auto"/>
                                  </w:divBdr>
                                  <w:divsChild>
                                    <w:div w:id="1583221468">
                                      <w:marLeft w:val="0"/>
                                      <w:marRight w:val="0"/>
                                      <w:marTop w:val="0"/>
                                      <w:marBottom w:val="0"/>
                                      <w:divBdr>
                                        <w:top w:val="none" w:sz="0" w:space="0" w:color="auto"/>
                                        <w:left w:val="none" w:sz="0" w:space="0" w:color="auto"/>
                                        <w:bottom w:val="none" w:sz="0" w:space="0" w:color="auto"/>
                                        <w:right w:val="none" w:sz="0" w:space="0" w:color="auto"/>
                                      </w:divBdr>
                                      <w:divsChild>
                                        <w:div w:id="133930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736408">
      <w:bodyDiv w:val="1"/>
      <w:marLeft w:val="0"/>
      <w:marRight w:val="0"/>
      <w:marTop w:val="0"/>
      <w:marBottom w:val="0"/>
      <w:divBdr>
        <w:top w:val="none" w:sz="0" w:space="0" w:color="auto"/>
        <w:left w:val="none" w:sz="0" w:space="0" w:color="auto"/>
        <w:bottom w:val="none" w:sz="0" w:space="0" w:color="auto"/>
        <w:right w:val="none" w:sz="0" w:space="0" w:color="auto"/>
      </w:divBdr>
    </w:div>
    <w:div w:id="590510897">
      <w:bodyDiv w:val="1"/>
      <w:marLeft w:val="0"/>
      <w:marRight w:val="0"/>
      <w:marTop w:val="0"/>
      <w:marBottom w:val="0"/>
      <w:divBdr>
        <w:top w:val="none" w:sz="0" w:space="0" w:color="auto"/>
        <w:left w:val="none" w:sz="0" w:space="0" w:color="auto"/>
        <w:bottom w:val="none" w:sz="0" w:space="0" w:color="auto"/>
        <w:right w:val="none" w:sz="0" w:space="0" w:color="auto"/>
      </w:divBdr>
    </w:div>
    <w:div w:id="671952450">
      <w:bodyDiv w:val="1"/>
      <w:marLeft w:val="0"/>
      <w:marRight w:val="0"/>
      <w:marTop w:val="0"/>
      <w:marBottom w:val="0"/>
      <w:divBdr>
        <w:top w:val="none" w:sz="0" w:space="0" w:color="auto"/>
        <w:left w:val="none" w:sz="0" w:space="0" w:color="auto"/>
        <w:bottom w:val="none" w:sz="0" w:space="0" w:color="auto"/>
        <w:right w:val="none" w:sz="0" w:space="0" w:color="auto"/>
      </w:divBdr>
    </w:div>
    <w:div w:id="683482735">
      <w:bodyDiv w:val="1"/>
      <w:marLeft w:val="0"/>
      <w:marRight w:val="0"/>
      <w:marTop w:val="0"/>
      <w:marBottom w:val="0"/>
      <w:divBdr>
        <w:top w:val="none" w:sz="0" w:space="0" w:color="auto"/>
        <w:left w:val="none" w:sz="0" w:space="0" w:color="auto"/>
        <w:bottom w:val="none" w:sz="0" w:space="0" w:color="auto"/>
        <w:right w:val="none" w:sz="0" w:space="0" w:color="auto"/>
      </w:divBdr>
    </w:div>
    <w:div w:id="694120243">
      <w:bodyDiv w:val="1"/>
      <w:marLeft w:val="0"/>
      <w:marRight w:val="0"/>
      <w:marTop w:val="0"/>
      <w:marBottom w:val="0"/>
      <w:divBdr>
        <w:top w:val="none" w:sz="0" w:space="0" w:color="auto"/>
        <w:left w:val="none" w:sz="0" w:space="0" w:color="auto"/>
        <w:bottom w:val="none" w:sz="0" w:space="0" w:color="auto"/>
        <w:right w:val="none" w:sz="0" w:space="0" w:color="auto"/>
      </w:divBdr>
    </w:div>
    <w:div w:id="695499797">
      <w:bodyDiv w:val="1"/>
      <w:marLeft w:val="0"/>
      <w:marRight w:val="0"/>
      <w:marTop w:val="0"/>
      <w:marBottom w:val="0"/>
      <w:divBdr>
        <w:top w:val="none" w:sz="0" w:space="0" w:color="auto"/>
        <w:left w:val="none" w:sz="0" w:space="0" w:color="auto"/>
        <w:bottom w:val="none" w:sz="0" w:space="0" w:color="auto"/>
        <w:right w:val="none" w:sz="0" w:space="0" w:color="auto"/>
      </w:divBdr>
    </w:div>
    <w:div w:id="729696291">
      <w:bodyDiv w:val="1"/>
      <w:marLeft w:val="0"/>
      <w:marRight w:val="0"/>
      <w:marTop w:val="0"/>
      <w:marBottom w:val="0"/>
      <w:divBdr>
        <w:top w:val="none" w:sz="0" w:space="0" w:color="auto"/>
        <w:left w:val="none" w:sz="0" w:space="0" w:color="auto"/>
        <w:bottom w:val="none" w:sz="0" w:space="0" w:color="auto"/>
        <w:right w:val="none" w:sz="0" w:space="0" w:color="auto"/>
      </w:divBdr>
    </w:div>
    <w:div w:id="874539328">
      <w:bodyDiv w:val="1"/>
      <w:marLeft w:val="0"/>
      <w:marRight w:val="0"/>
      <w:marTop w:val="0"/>
      <w:marBottom w:val="0"/>
      <w:divBdr>
        <w:top w:val="none" w:sz="0" w:space="0" w:color="auto"/>
        <w:left w:val="none" w:sz="0" w:space="0" w:color="auto"/>
        <w:bottom w:val="none" w:sz="0" w:space="0" w:color="auto"/>
        <w:right w:val="none" w:sz="0" w:space="0" w:color="auto"/>
      </w:divBdr>
      <w:divsChild>
        <w:div w:id="848912872">
          <w:marLeft w:val="0"/>
          <w:marRight w:val="0"/>
          <w:marTop w:val="0"/>
          <w:marBottom w:val="0"/>
          <w:divBdr>
            <w:top w:val="none" w:sz="0" w:space="0" w:color="auto"/>
            <w:left w:val="none" w:sz="0" w:space="0" w:color="auto"/>
            <w:bottom w:val="none" w:sz="0" w:space="0" w:color="auto"/>
            <w:right w:val="none" w:sz="0" w:space="0" w:color="auto"/>
          </w:divBdr>
          <w:divsChild>
            <w:div w:id="588659080">
              <w:marLeft w:val="0"/>
              <w:marRight w:val="0"/>
              <w:marTop w:val="0"/>
              <w:marBottom w:val="0"/>
              <w:divBdr>
                <w:top w:val="single" w:sz="2" w:space="0" w:color="EFEFEF"/>
                <w:left w:val="none" w:sz="0" w:space="0" w:color="auto"/>
                <w:bottom w:val="none" w:sz="0" w:space="0" w:color="auto"/>
                <w:right w:val="none" w:sz="0" w:space="0" w:color="auto"/>
              </w:divBdr>
              <w:divsChild>
                <w:div w:id="953905468">
                  <w:marLeft w:val="0"/>
                  <w:marRight w:val="0"/>
                  <w:marTop w:val="0"/>
                  <w:marBottom w:val="0"/>
                  <w:divBdr>
                    <w:top w:val="single" w:sz="6" w:space="0" w:color="auto"/>
                    <w:left w:val="none" w:sz="0" w:space="0" w:color="auto"/>
                    <w:bottom w:val="none" w:sz="0" w:space="0" w:color="auto"/>
                    <w:right w:val="none" w:sz="0" w:space="0" w:color="auto"/>
                  </w:divBdr>
                  <w:divsChild>
                    <w:div w:id="668600929">
                      <w:marLeft w:val="0"/>
                      <w:marRight w:val="0"/>
                      <w:marTop w:val="0"/>
                      <w:marBottom w:val="0"/>
                      <w:divBdr>
                        <w:top w:val="none" w:sz="0" w:space="0" w:color="auto"/>
                        <w:left w:val="none" w:sz="0" w:space="0" w:color="auto"/>
                        <w:bottom w:val="none" w:sz="0" w:space="0" w:color="auto"/>
                        <w:right w:val="none" w:sz="0" w:space="0" w:color="auto"/>
                      </w:divBdr>
                      <w:divsChild>
                        <w:div w:id="662271852">
                          <w:marLeft w:val="0"/>
                          <w:marRight w:val="0"/>
                          <w:marTop w:val="0"/>
                          <w:marBottom w:val="0"/>
                          <w:divBdr>
                            <w:top w:val="none" w:sz="0" w:space="0" w:color="auto"/>
                            <w:left w:val="none" w:sz="0" w:space="0" w:color="auto"/>
                            <w:bottom w:val="none" w:sz="0" w:space="0" w:color="auto"/>
                            <w:right w:val="none" w:sz="0" w:space="0" w:color="auto"/>
                          </w:divBdr>
                          <w:divsChild>
                            <w:div w:id="676274373">
                              <w:marLeft w:val="0"/>
                              <w:marRight w:val="0"/>
                              <w:marTop w:val="0"/>
                              <w:marBottom w:val="0"/>
                              <w:divBdr>
                                <w:top w:val="none" w:sz="0" w:space="0" w:color="auto"/>
                                <w:left w:val="none" w:sz="0" w:space="0" w:color="auto"/>
                                <w:bottom w:val="none" w:sz="0" w:space="0" w:color="auto"/>
                                <w:right w:val="none" w:sz="0" w:space="0" w:color="auto"/>
                              </w:divBdr>
                              <w:divsChild>
                                <w:div w:id="847788744">
                                  <w:marLeft w:val="0"/>
                                  <w:marRight w:val="0"/>
                                  <w:marTop w:val="0"/>
                                  <w:marBottom w:val="0"/>
                                  <w:divBdr>
                                    <w:top w:val="none" w:sz="0" w:space="0" w:color="auto"/>
                                    <w:left w:val="none" w:sz="0" w:space="0" w:color="auto"/>
                                    <w:bottom w:val="none" w:sz="0" w:space="0" w:color="auto"/>
                                    <w:right w:val="none" w:sz="0" w:space="0" w:color="auto"/>
                                  </w:divBdr>
                                  <w:divsChild>
                                    <w:div w:id="1438060843">
                                      <w:marLeft w:val="0"/>
                                      <w:marRight w:val="0"/>
                                      <w:marTop w:val="0"/>
                                      <w:marBottom w:val="0"/>
                                      <w:divBdr>
                                        <w:top w:val="none" w:sz="0" w:space="0" w:color="auto"/>
                                        <w:left w:val="none" w:sz="0" w:space="0" w:color="auto"/>
                                        <w:bottom w:val="none" w:sz="0" w:space="0" w:color="auto"/>
                                        <w:right w:val="none" w:sz="0" w:space="0" w:color="auto"/>
                                      </w:divBdr>
                                    </w:div>
                                  </w:divsChild>
                                </w:div>
                                <w:div w:id="2049333947">
                                  <w:marLeft w:val="0"/>
                                  <w:marRight w:val="0"/>
                                  <w:marTop w:val="0"/>
                                  <w:marBottom w:val="0"/>
                                  <w:divBdr>
                                    <w:top w:val="none" w:sz="0" w:space="0" w:color="auto"/>
                                    <w:left w:val="none" w:sz="0" w:space="0" w:color="auto"/>
                                    <w:bottom w:val="none" w:sz="0" w:space="0" w:color="auto"/>
                                    <w:right w:val="none" w:sz="0" w:space="0" w:color="auto"/>
                                  </w:divBdr>
                                  <w:divsChild>
                                    <w:div w:id="9793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4756503">
          <w:marLeft w:val="0"/>
          <w:marRight w:val="0"/>
          <w:marTop w:val="0"/>
          <w:marBottom w:val="0"/>
          <w:divBdr>
            <w:top w:val="none" w:sz="0" w:space="0" w:color="auto"/>
            <w:left w:val="none" w:sz="0" w:space="0" w:color="auto"/>
            <w:bottom w:val="none" w:sz="0" w:space="0" w:color="auto"/>
            <w:right w:val="none" w:sz="0" w:space="0" w:color="auto"/>
          </w:divBdr>
          <w:divsChild>
            <w:div w:id="1656179856">
              <w:marLeft w:val="0"/>
              <w:marRight w:val="0"/>
              <w:marTop w:val="0"/>
              <w:marBottom w:val="0"/>
              <w:divBdr>
                <w:top w:val="single" w:sz="2" w:space="0" w:color="EFEFEF"/>
                <w:left w:val="none" w:sz="0" w:space="0" w:color="auto"/>
                <w:bottom w:val="none" w:sz="0" w:space="0" w:color="auto"/>
                <w:right w:val="none" w:sz="0" w:space="0" w:color="auto"/>
              </w:divBdr>
              <w:divsChild>
                <w:div w:id="1102841255">
                  <w:marLeft w:val="0"/>
                  <w:marRight w:val="0"/>
                  <w:marTop w:val="0"/>
                  <w:marBottom w:val="0"/>
                  <w:divBdr>
                    <w:top w:val="none" w:sz="0" w:space="0" w:color="auto"/>
                    <w:left w:val="none" w:sz="0" w:space="0" w:color="auto"/>
                    <w:bottom w:val="none" w:sz="0" w:space="0" w:color="auto"/>
                    <w:right w:val="none" w:sz="0" w:space="0" w:color="auto"/>
                  </w:divBdr>
                  <w:divsChild>
                    <w:div w:id="1939362683">
                      <w:marLeft w:val="0"/>
                      <w:marRight w:val="0"/>
                      <w:marTop w:val="0"/>
                      <w:marBottom w:val="0"/>
                      <w:divBdr>
                        <w:top w:val="none" w:sz="0" w:space="0" w:color="auto"/>
                        <w:left w:val="none" w:sz="0" w:space="0" w:color="auto"/>
                        <w:bottom w:val="none" w:sz="0" w:space="0" w:color="auto"/>
                        <w:right w:val="none" w:sz="0" w:space="0" w:color="auto"/>
                      </w:divBdr>
                      <w:divsChild>
                        <w:div w:id="2113821639">
                          <w:marLeft w:val="0"/>
                          <w:marRight w:val="0"/>
                          <w:marTop w:val="0"/>
                          <w:marBottom w:val="0"/>
                          <w:divBdr>
                            <w:top w:val="none" w:sz="0" w:space="0" w:color="auto"/>
                            <w:left w:val="none" w:sz="0" w:space="0" w:color="auto"/>
                            <w:bottom w:val="none" w:sz="0" w:space="0" w:color="auto"/>
                            <w:right w:val="none" w:sz="0" w:space="0" w:color="auto"/>
                          </w:divBdr>
                          <w:divsChild>
                            <w:div w:id="968168746">
                              <w:marLeft w:val="0"/>
                              <w:marRight w:val="0"/>
                              <w:marTop w:val="0"/>
                              <w:marBottom w:val="0"/>
                              <w:divBdr>
                                <w:top w:val="none" w:sz="0" w:space="0" w:color="auto"/>
                                <w:left w:val="none" w:sz="0" w:space="0" w:color="auto"/>
                                <w:bottom w:val="none" w:sz="0" w:space="0" w:color="auto"/>
                                <w:right w:val="none" w:sz="0" w:space="0" w:color="auto"/>
                              </w:divBdr>
                              <w:divsChild>
                                <w:div w:id="1624846708">
                                  <w:marLeft w:val="0"/>
                                  <w:marRight w:val="0"/>
                                  <w:marTop w:val="0"/>
                                  <w:marBottom w:val="0"/>
                                  <w:divBdr>
                                    <w:top w:val="none" w:sz="0" w:space="0" w:color="auto"/>
                                    <w:left w:val="none" w:sz="0" w:space="0" w:color="auto"/>
                                    <w:bottom w:val="none" w:sz="0" w:space="0" w:color="auto"/>
                                    <w:right w:val="none" w:sz="0" w:space="0" w:color="auto"/>
                                  </w:divBdr>
                                  <w:divsChild>
                                    <w:div w:id="331110509">
                                      <w:marLeft w:val="0"/>
                                      <w:marRight w:val="0"/>
                                      <w:marTop w:val="0"/>
                                      <w:marBottom w:val="0"/>
                                      <w:divBdr>
                                        <w:top w:val="none" w:sz="0" w:space="0" w:color="auto"/>
                                        <w:left w:val="none" w:sz="0" w:space="0" w:color="auto"/>
                                        <w:bottom w:val="none" w:sz="0" w:space="0" w:color="auto"/>
                                        <w:right w:val="none" w:sz="0" w:space="0" w:color="auto"/>
                                      </w:divBdr>
                                      <w:divsChild>
                                        <w:div w:id="55728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9356185">
      <w:bodyDiv w:val="1"/>
      <w:marLeft w:val="0"/>
      <w:marRight w:val="0"/>
      <w:marTop w:val="0"/>
      <w:marBottom w:val="0"/>
      <w:divBdr>
        <w:top w:val="none" w:sz="0" w:space="0" w:color="auto"/>
        <w:left w:val="none" w:sz="0" w:space="0" w:color="auto"/>
        <w:bottom w:val="none" w:sz="0" w:space="0" w:color="auto"/>
        <w:right w:val="none" w:sz="0" w:space="0" w:color="auto"/>
      </w:divBdr>
    </w:div>
    <w:div w:id="1090615696">
      <w:bodyDiv w:val="1"/>
      <w:marLeft w:val="0"/>
      <w:marRight w:val="0"/>
      <w:marTop w:val="0"/>
      <w:marBottom w:val="0"/>
      <w:divBdr>
        <w:top w:val="none" w:sz="0" w:space="0" w:color="auto"/>
        <w:left w:val="none" w:sz="0" w:space="0" w:color="auto"/>
        <w:bottom w:val="none" w:sz="0" w:space="0" w:color="auto"/>
        <w:right w:val="none" w:sz="0" w:space="0" w:color="auto"/>
      </w:divBdr>
    </w:div>
    <w:div w:id="1366566929">
      <w:bodyDiv w:val="1"/>
      <w:marLeft w:val="0"/>
      <w:marRight w:val="0"/>
      <w:marTop w:val="0"/>
      <w:marBottom w:val="0"/>
      <w:divBdr>
        <w:top w:val="none" w:sz="0" w:space="0" w:color="auto"/>
        <w:left w:val="none" w:sz="0" w:space="0" w:color="auto"/>
        <w:bottom w:val="none" w:sz="0" w:space="0" w:color="auto"/>
        <w:right w:val="none" w:sz="0" w:space="0" w:color="auto"/>
      </w:divBdr>
    </w:div>
    <w:div w:id="1378162983">
      <w:bodyDiv w:val="1"/>
      <w:marLeft w:val="0"/>
      <w:marRight w:val="0"/>
      <w:marTop w:val="0"/>
      <w:marBottom w:val="0"/>
      <w:divBdr>
        <w:top w:val="none" w:sz="0" w:space="0" w:color="auto"/>
        <w:left w:val="none" w:sz="0" w:space="0" w:color="auto"/>
        <w:bottom w:val="none" w:sz="0" w:space="0" w:color="auto"/>
        <w:right w:val="none" w:sz="0" w:space="0" w:color="auto"/>
      </w:divBdr>
    </w:div>
    <w:div w:id="1407726134">
      <w:bodyDiv w:val="1"/>
      <w:marLeft w:val="0"/>
      <w:marRight w:val="0"/>
      <w:marTop w:val="0"/>
      <w:marBottom w:val="0"/>
      <w:divBdr>
        <w:top w:val="none" w:sz="0" w:space="0" w:color="auto"/>
        <w:left w:val="none" w:sz="0" w:space="0" w:color="auto"/>
        <w:bottom w:val="none" w:sz="0" w:space="0" w:color="auto"/>
        <w:right w:val="none" w:sz="0" w:space="0" w:color="auto"/>
      </w:divBdr>
    </w:div>
    <w:div w:id="1621183007">
      <w:bodyDiv w:val="1"/>
      <w:marLeft w:val="0"/>
      <w:marRight w:val="0"/>
      <w:marTop w:val="0"/>
      <w:marBottom w:val="0"/>
      <w:divBdr>
        <w:top w:val="none" w:sz="0" w:space="0" w:color="auto"/>
        <w:left w:val="none" w:sz="0" w:space="0" w:color="auto"/>
        <w:bottom w:val="none" w:sz="0" w:space="0" w:color="auto"/>
        <w:right w:val="none" w:sz="0" w:space="0" w:color="auto"/>
      </w:divBdr>
    </w:div>
    <w:div w:id="1634402915">
      <w:bodyDiv w:val="1"/>
      <w:marLeft w:val="0"/>
      <w:marRight w:val="0"/>
      <w:marTop w:val="0"/>
      <w:marBottom w:val="0"/>
      <w:divBdr>
        <w:top w:val="none" w:sz="0" w:space="0" w:color="auto"/>
        <w:left w:val="none" w:sz="0" w:space="0" w:color="auto"/>
        <w:bottom w:val="none" w:sz="0" w:space="0" w:color="auto"/>
        <w:right w:val="none" w:sz="0" w:space="0" w:color="auto"/>
      </w:divBdr>
    </w:div>
    <w:div w:id="1705323167">
      <w:bodyDiv w:val="1"/>
      <w:marLeft w:val="0"/>
      <w:marRight w:val="0"/>
      <w:marTop w:val="0"/>
      <w:marBottom w:val="0"/>
      <w:divBdr>
        <w:top w:val="none" w:sz="0" w:space="0" w:color="auto"/>
        <w:left w:val="none" w:sz="0" w:space="0" w:color="auto"/>
        <w:bottom w:val="none" w:sz="0" w:space="0" w:color="auto"/>
        <w:right w:val="none" w:sz="0" w:space="0" w:color="auto"/>
      </w:divBdr>
    </w:div>
    <w:div w:id="19610347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023/A:1025495221519" TargetMode="External"/><Relationship Id="rId21" Type="http://schemas.openxmlformats.org/officeDocument/2006/relationships/hyperlink" Target="https://doi.org/10.1162/003355301556400" TargetMode="External"/><Relationship Id="rId34" Type="http://schemas.openxmlformats.org/officeDocument/2006/relationships/hyperlink" Target="https://doi.org/10.1016/1057-0810(94)90017-5" TargetMode="External"/><Relationship Id="rId42" Type="http://schemas.openxmlformats.org/officeDocument/2006/relationships/hyperlink" Target="https://doi.org/10.55544/ijrah.3.6.11" TargetMode="External"/><Relationship Id="rId47" Type="http://schemas.openxmlformats.org/officeDocument/2006/relationships/hyperlink" Target="https://doi.org/10.1016/S0167-4870(97)00026-3" TargetMode="External"/><Relationship Id="rId50" Type="http://schemas.openxmlformats.org/officeDocument/2006/relationships/hyperlink" Target="https://doi.org/10.1016/j.socec.2016.04.019" TargetMode="External"/><Relationship Id="rId55" Type="http://schemas.openxmlformats.org/officeDocument/2006/relationships/hyperlink" Target="https://doi.org/10.1016/S2212-5671(12)00070-6" TargetMode="External"/><Relationship Id="rId63"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mukamil.shah@imsciences.edu.pk" TargetMode="External"/><Relationship Id="rId29" Type="http://schemas.openxmlformats.org/officeDocument/2006/relationships/hyperlink" Target="https://doi.org/10.1016/S1057-0810(99)00041-4" TargetMode="External"/><Relationship Id="rId11" Type="http://schemas.openxmlformats.org/officeDocument/2006/relationships/image" Target="media/image2.jpeg"/><Relationship Id="rId24" Type="http://schemas.openxmlformats.org/officeDocument/2006/relationships/hyperlink" Target="https://doi.org/10.1016/j.jebo.2013.12.017" TargetMode="External"/><Relationship Id="rId32" Type="http://schemas.openxmlformats.org/officeDocument/2006/relationships/hyperlink" Target="https://doi.org/10.2466/pr0.100.3.795-802" TargetMode="External"/><Relationship Id="rId37" Type="http://schemas.openxmlformats.org/officeDocument/2006/relationships/hyperlink" Target="https://doi.org/10.1016/0010-0277(79)90024-6" TargetMode="External"/><Relationship Id="rId40" Type="http://schemas.openxmlformats.org/officeDocument/2006/relationships/hyperlink" Target="https://doi.org/10.1123/jsep.11.2.161" TargetMode="External"/><Relationship Id="rId45" Type="http://schemas.openxmlformats.org/officeDocument/2006/relationships/hyperlink" Target="https://doi.org/10.1016/j.bir.2023.02.005" TargetMode="External"/><Relationship Id="rId53" Type="http://schemas.openxmlformats.org/officeDocument/2006/relationships/hyperlink" Target="https://doi.org/10.32479/ijefi.9365" TargetMode="External"/><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hyperlink" Target="https://doi.org/10.1142/S0219622005001660" TargetMode="External"/><Relationship Id="rId14" Type="http://schemas.openxmlformats.org/officeDocument/2006/relationships/image" Target="media/image4.emf"/><Relationship Id="rId22" Type="http://schemas.openxmlformats.org/officeDocument/2006/relationships/hyperlink" Target="https://doi.org/10.1016/j.fcr.2018.03.009" TargetMode="External"/><Relationship Id="rId27" Type="http://schemas.openxmlformats.org/officeDocument/2006/relationships/hyperlink" Target="https://doi.org/10.1111/j.1475-6803.2008.00229.x" TargetMode="External"/><Relationship Id="rId30" Type="http://schemas.openxmlformats.org/officeDocument/2006/relationships/hyperlink" Target="http://hdl.handle.net/10919/30762" TargetMode="External"/><Relationship Id="rId35" Type="http://schemas.openxmlformats.org/officeDocument/2006/relationships/hyperlink" Target="https://doi.org/10.1002/j.2325-8012.2006.tb00749.x" TargetMode="External"/><Relationship Id="rId43" Type="http://schemas.openxmlformats.org/officeDocument/2006/relationships/hyperlink" Target="https://doi.org/10.1111/j.0021-9029.2006.00065.x" TargetMode="External"/><Relationship Id="rId48" Type="http://schemas.openxmlformats.org/officeDocument/2006/relationships/hyperlink" Target="https://doi.org/10.1016/j.jbef.2019.06.001" TargetMode="External"/><Relationship Id="rId56" Type="http://schemas.openxmlformats.org/officeDocument/2006/relationships/hyperlink" Target="https://doi.org/10.1111/j.1744-6570.1994.tb02415.x" TargetMode="Externa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doi.org/:10.5539/ijef.v3n5p234" TargetMode="External"/><Relationship Id="rId3" Type="http://schemas.openxmlformats.org/officeDocument/2006/relationships/styles" Target="styles.xml"/><Relationship Id="rId12" Type="http://schemas.openxmlformats.org/officeDocument/2006/relationships/hyperlink" Target="https://orcid.org/0009-0001-9245-7790" TargetMode="External"/><Relationship Id="rId17" Type="http://schemas.openxmlformats.org/officeDocument/2006/relationships/hyperlink" Target="https://doi.org/10.52131/joe.2023.0503.0161" TargetMode="External"/><Relationship Id="rId25" Type="http://schemas.openxmlformats.org/officeDocument/2006/relationships/hyperlink" Target="https://doi.org/10.1016/j.paid.2016.03.005" TargetMode="External"/><Relationship Id="rId33" Type="http://schemas.openxmlformats.org/officeDocument/2006/relationships/hyperlink" Target="https://doi.org/10.1177/0959354304044918" TargetMode="External"/><Relationship Id="rId38" Type="http://schemas.openxmlformats.org/officeDocument/2006/relationships/hyperlink" Target="https://doi.org/10.1007/s10389-018-0936-2" TargetMode="External"/><Relationship Id="rId46" Type="http://schemas.openxmlformats.org/officeDocument/2006/relationships/hyperlink" Target="https://doi.org/10.1108/IJCoMA-01-2013-0002" TargetMode="External"/><Relationship Id="rId59" Type="http://schemas.openxmlformats.org/officeDocument/2006/relationships/header" Target="header2.xml"/><Relationship Id="rId20" Type="http://schemas.openxmlformats.org/officeDocument/2006/relationships/hyperlink" Target="https://doi.org/10.1108/RBF-08-2017-0077" TargetMode="External"/><Relationship Id="rId41" Type="http://schemas.openxmlformats.org/officeDocument/2006/relationships/hyperlink" Target="https://pafmj.org/PAFMJ/article/view/3551" TargetMode="External"/><Relationship Id="rId54" Type="http://schemas.openxmlformats.org/officeDocument/2006/relationships/hyperlink" Target="https://doi.org/10.14453/aabfj.v11i3.6" TargetMode="External"/><Relationship Id="rId62"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reativecommons.org/licenses/by-nc/4.0/" TargetMode="External"/><Relationship Id="rId23" Type="http://schemas.openxmlformats.org/officeDocument/2006/relationships/hyperlink" Target="https://doi.org/10.31181/oresta010422181b" TargetMode="External"/><Relationship Id="rId28" Type="http://schemas.openxmlformats.org/officeDocument/2006/relationships/hyperlink" Target="https://doi.org/10.3390/jintelligence5020011" TargetMode="External"/><Relationship Id="rId36" Type="http://schemas.openxmlformats.org/officeDocument/2006/relationships/hyperlink" Target="https://doi.org/10.1038/nn2007" TargetMode="External"/><Relationship Id="rId49" Type="http://schemas.openxmlformats.org/officeDocument/2006/relationships/hyperlink" Target="https://doi.org/10.1111/j.1745-6916.2007.00047.x" TargetMode="External"/><Relationship Id="rId57" Type="http://schemas.openxmlformats.org/officeDocument/2006/relationships/hyperlink" Target="https://doi.org/10.2139/ssrn.95489" TargetMode="External"/><Relationship Id="rId10" Type="http://schemas.openxmlformats.org/officeDocument/2006/relationships/hyperlink" Target="https://journals.internationalrasd.org/index.php/joe" TargetMode="External"/><Relationship Id="rId31" Type="http://schemas.openxmlformats.org/officeDocument/2006/relationships/hyperlink" Target="https://doi.org/10.1023/A:1022994314982" TargetMode="External"/><Relationship Id="rId44" Type="http://schemas.openxmlformats.org/officeDocument/2006/relationships/hyperlink" Target="https://doi.org/10.1080/15427560.2017.1366495" TargetMode="External"/><Relationship Id="rId52" Type="http://schemas.openxmlformats.org/officeDocument/2006/relationships/hyperlink" Target="https://doi.org/10.30537/sijmb.v6i1.449" TargetMode="External"/><Relationship Id="rId60" Type="http://schemas.openxmlformats.org/officeDocument/2006/relationships/footer" Target="footer1.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image" Target="media/image3.png"/><Relationship Id="rId18" Type="http://schemas.openxmlformats.org/officeDocument/2006/relationships/hyperlink" Target="https://doi.org/10.1162/00335530360698487" TargetMode="External"/><Relationship Id="rId39" Type="http://schemas.openxmlformats.org/officeDocument/2006/relationships/hyperlink" Target="https://doi.org/10.1037/h00312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Ash12</b:Tag>
    <b:SourceType>JournalArticle</b:SourceType>
    <b:Guid>{C111EDBC-4611-46FC-BE23-F26C1BF9453A}</b:Guid>
    <b:Author>
      <b:Author>
        <b:NameList>
          <b:Person>
            <b:Last>Ashely</b:Last>
            <b:First>Tedham</b:First>
          </b:Person>
        </b:NameList>
      </b:Author>
    </b:Author>
    <b:Title>Charitable Giving,Fundrising,and Faith-Based organization Islamic relief world wide and world vision</b:Title>
    <b:JournalName>Graduate Institute of international and Development Studies</b:JournalName>
    <b:Year>2012</b:Year>
    <b:Volume>11</b:Volume>
    <b:RefOrder>1</b:RefOrder>
  </b:Source>
  <b:Source>
    <b:Tag>Boy11</b:Tag>
    <b:SourceType>Report</b:SourceType>
    <b:Guid>{ED2BF640-EDAB-4AA6-811B-2FB296CFDCDF}</b:Guid>
    <b:Author>
      <b:Author>
        <b:NameList>
          <b:Person>
            <b:Last>Boyer</b:Last>
            <b:First>Katie</b:First>
            <b:Middle>Elaine</b:Middle>
          </b:Person>
        </b:NameList>
      </b:Author>
    </b:Author>
    <b:Title>Increasing Fundraising and Volunteerism for the Kahlo Cultural Center</b:Title>
    <b:Year>2011</b:Year>
    <b:City>California</b:City>
    <b:Department>Journalism Department</b:Department>
    <b:Institution>California Polytechnic State University</b:Institution>
    <b:RefOrder>2</b:RefOrder>
  </b:Source>
  <b:Source>
    <b:Tag>Fos</b:Tag>
    <b:SourceType>JournalArticle</b:SourceType>
    <b:Guid>{27ED905B-78EE-4166-AD29-95CB71DFBE81}</b:Guid>
    <b:Author>
      <b:Author>
        <b:NameList>
          <b:Person>
            <b:Last>Foster</b:Last>
            <b:First>Jennifer</b:First>
          </b:Person>
        </b:NameList>
      </b:Author>
    </b:Author>
    <b:Title>Donor Recognition and Cultivation Through the Use of Digital Bookplates</b:Title>
    <b:JournalName>Library inovation</b:JournalName>
    <b:Pages>1-7</b:Pages>
    <b:Volume>volume No 3</b:Volume>
    <b:Year>2012</b:Year>
    <b:Issue>2</b:Issue>
    <b:RefOrder>3</b:RefOrder>
  </b:Source>
  <b:Source>
    <b:Tag>Sil09</b:Tag>
    <b:SourceType>JournalArticle</b:SourceType>
    <b:Guid>{866BE8C0-6BE0-4EA3-9E82-300E1F02E6C2}</b:Guid>
    <b:Author>
      <b:Author>
        <b:NameList>
          <b:Person>
            <b:Last>Silverman</b:Last>
            <b:First>Emily</b:First>
          </b:Person>
        </b:NameList>
      </b:Author>
    </b:Author>
    <b:Title>BEYOND LUCK AND MONEY Inviting the donor to give</b:Title>
    <b:JournalName>The Bottom Line: Managing Library</b:JournalName>
    <b:Year>2009</b:Year>
    <b:Pages>1-3</b:Pages>
    <b:Publisher>Emerald Group Publishing Limited</b:Publisher>
    <b:Volume>Vol. 22 No. 4,</b:Volume>
    <b:RefOrder>4</b:RefOrder>
  </b:Source>
  <b:Source>
    <b:Tag>Kat10</b:Tag>
    <b:SourceType>JournalArticle</b:SourceType>
    <b:Guid>{439DC60E-F0D1-48E3-BED8-77961751F5D3}</b:Guid>
    <b:Author>
      <b:Author>
        <b:NameList>
          <b:Person>
            <b:Last>Branston</b:Last>
            <b:First>Katherine</b:First>
          </b:Person>
          <b:Person>
            <b:Last>YMCA</b:Last>
            <b:First>Missoula</b:First>
            <b:Middle>Family</b:Middle>
          </b:Person>
          <b:Person>
            <b:Last>Bush</b:Last>
            <b:First>Lee</b:First>
          </b:Person>
        </b:NameList>
      </b:Author>
    </b:Author>
    <b:Title>The nature of online social good networks and their impact on non nonprofit</b:Title>
    <b:JournalName>online journal</b:JournalName>
    <b:Year>2010</b:Year>
    <b:Pages>1-14</b:Pages>
    <b:RefOrder>5</b:RefOrder>
  </b:Source>
  <b:Source>
    <b:Tag>TIN10</b:Tag>
    <b:SourceType>Report</b:SourceType>
    <b:Guid>{A7831EA1-6D04-4075-B7B2-04D92DE20765}</b:Guid>
    <b:Author>
      <b:Author>
        <b:NameList>
          <b:Person>
            <b:Last>Brand</b:Last>
            <b:First>Tinam.</b:First>
          </b:Person>
        </b:NameList>
      </b:Author>
    </b:Author>
    <b:Title>THE JOY OF GIVING: AN INVESTIGATION OF POSITIVE FUNDRAISING TECHNIQUES</b:Title>
    <b:Year>2010</b:Year>
    <b:RefOrder>6</b:RefOrder>
  </b:Source>
  <b:Source>
    <b:Tag>Nic12</b:Tag>
    <b:SourceType>JournalArticle</b:SourceType>
    <b:Guid>{F44BB26B-0432-4142-B295-182A988F28C2}</b:Guid>
    <b:Author>
      <b:Author>
        <b:NameList>
          <b:Person>
            <b:Last>Ciucescu</b:Last>
            <b:First>Nicoleta</b:First>
          </b:Person>
        </b:NameList>
      </b:Author>
    </b:Author>
    <b:Title>Financial Resources of NGOs</b:Title>
    <b:JournalName>Studies and Scientific Researches</b:JournalName>
    <b:Year>2012</b:Year>
    <b:Pages>1-7</b:Pages>
    <b:City> Romania</b:City>
    <b:Volume> No. 16-17</b:Volume>
    <b:RefOrder>7</b:RefOrder>
  </b:Source>
  <b:Source>
    <b:Tag>Nea11</b:Tag>
    <b:SourceType>Report</b:SourceType>
    <b:Guid>{C51BCD76-0853-4601-8085-788ED322A8EC}</b:Guid>
    <b:Author>
      <b:Author>
        <b:NameList>
          <b:Person>
            <b:Last>Neale</b:Last>
            <b:First>Sally</b:First>
          </b:Person>
        </b:NameList>
      </b:Author>
    </b:Author>
    <b:Title>Fundraising by Friends of the Library Groups: Profitability Trends and Effectiveness of Recent Initiatives</b:Title>
    <b:Year>2011</b:Year>
    <b:City>New Haven CT</b:City>
    <b:RefOrder>8</b:RefOrder>
  </b:Source>
  <b:Source>
    <b:Tag>Nic08</b:Tag>
    <b:SourceType>JournalArticle</b:SourceType>
    <b:Guid>{1FD50D77-5185-401A-A482-25CB88D40416}</b:Guid>
    <b:Author>
      <b:Author>
        <b:NameList>
          <b:Person>
            <b:Last>Nichols</b:Last>
            <b:First>Naomi</b:First>
          </b:Person>
        </b:NameList>
      </b:Author>
    </b:Author>
    <b:Title>Understanding the Funding Game:The Textual Coordination of Civil Sector Work</b:Title>
    <b:JournalName>Canadian Journal of Sociology</b:JournalName>
    <b:Year>2008</b:Year>
    <b:Pages>1-28</b:Pages>
    <b:Volume> Vol No 1</b:Volume>
    <b:RefOrder>9</b:RefOrder>
  </b:Source>
  <b:Source>
    <b:Tag>Lei12</b:Tag>
    <b:SourceType>Report</b:SourceType>
    <b:Guid>{370CD7DC-F5D2-4C21-943C-56F708ACC745}</b:Guid>
    <b:Author>
      <b:Author>
        <b:NameList>
          <b:Person>
            <b:Last>Leighann Neilson</b:Last>
            <b:First>brouard</b:First>
          </b:Person>
        </b:NameList>
      </b:Author>
    </b:Author>
    <b:Title>Fundraising Methods: Past, Present, Future</b:Title>
    <b:Year>2012</b:Year>
    <b:Pages>1-35</b:Pages>
    <b:ThesisType>SCSE-CSES RESEARCH REPORT</b:ThesisType>
    <b:RefOrder>10</b:RefOrder>
  </b:Source>
  <b:Source>
    <b:Tag>Edw98</b:Tag>
    <b:SourceType>JournalArticle</b:SourceType>
    <b:Guid>{79AAA9C3-E62B-490F-B2EC-76671C5E8BCC}</b:Guid>
    <b:Author>
      <b:Author>
        <b:NameList>
          <b:Person>
            <b:Last>Edwin</b:Last>
            <b:First>s</b:First>
            <b:Middle>clay</b:Middle>
          </b:Person>
        </b:NameList>
      </b:Author>
    </b:Author>
    <b:Title>Fund Raising by strategic design</b:Title>
    <b:Year>1998</b:Year>
    <b:Volume>volume 1</b:Volume>
    <b:Issue>3</b:Issue>
    <b:RefOrder>11</b:RefOrder>
  </b:Source>
  <b:Source>
    <b:Tag>Ric10</b:Tag>
    <b:SourceType>JournalArticle</b:SourceType>
    <b:Guid>{9834CEFC-3E27-40D8-A1E5-379F8412EB4D}</b:Guid>
    <b:Author>
      <b:Author>
        <b:NameList>
          <b:Person>
            <b:Last>Waters</b:Last>
            <b:First>Richard</b:First>
            <b:Middle>D.</b:Middle>
          </b:Person>
        </b:NameList>
      </b:Author>
    </b:Author>
    <b:Title>The value of relationship and communication management in fundraising: Comparing donors’ and practitioners’ fundraising: Comparing donors’ and practitionerS</b:Title>
    <b:JournalName>prism  journal</b:JournalName>
    <b:Year>2010</b:Year>
    <b:Pages>1-14</b:Pages>
    <b:RefOrder>12</b:RefOrder>
  </b:Source>
  <b:Source>
    <b:Tag>Kui08</b:Tag>
    <b:SourceType>JournalArticle</b:SourceType>
    <b:Guid>{E477DD46-6619-445B-8A86-F6B59C30D26C}</b:Guid>
    <b:Author>
      <b:Author>
        <b:NameList>
          <b:Person>
            <b:Last>Kuiper</b:Last>
            <b:First>Joyce</b:First>
          </b:Person>
          <b:Person>
            <b:Last>Das</b:Last>
            <b:First>Enny</b:First>
          </b:Person>
          <b:Person>
            <b:Last>Kerkhof</b:Last>
            <b:First>Peter</b:First>
          </b:Person>
        </b:NameList>
      </b:Author>
    </b:Author>
    <b:Title>Improving the Effectiveness of Fundraising Messages :The Impact of Charity Goal Attainment, Message Framing, and Evidence on Persuasion</b:Title>
    <b:JournalName>Journal of Applied Communication Research</b:JournalName>
    <b:Year>2008</b:Year>
    <b:Pages>PP 161-175</b:Pages>
    <b:RefOrder>13</b:RefOrder>
  </b:Source>
  <b:Source>
    <b:Tag>Isl17</b:Tag>
    <b:SourceType>InternetSite</b:SourceType>
    <b:Guid>{89C3476F-5BED-4DAC-B90F-7C6C9C7EC228}</b:Guid>
    <b:Title>sbp.org.pk</b:Title>
    <b:Year> October-December 2017</b:Year>
    <b:Author>
      <b:Author>
        <b:NameList>
          <b:Person>
            <b:Last>Bulletin</b:Last>
            <b:First>Islamic</b:First>
            <b:Middle>Banking</b:Middle>
          </b:Person>
        </b:NameList>
      </b:Author>
    </b:Author>
    <b:Month>December</b:Month>
    <b:URL>http://www.sbp.org.pk/ibd/bulletin/2017/Dec.pdf</b:URL>
    <b:RefOrder>1</b:RefOrder>
  </b:Source>
  <b:Source>
    <b:Tag>Sot17</b:Tag>
    <b:SourceType>JournalArticle</b:SourceType>
    <b:Guid>{7826F07B-0925-4AAC-A4EF-53D5895BB104}</b:Guid>
    <b:Title>Causalility between Foreign Direct Investment and Economic Growth in Cambodia</b:Title>
    <b:Year>2017</b:Year>
    <b:Author>
      <b:Author>
        <b:NameList>
          <b:Person>
            <b:Last>S</b:Last>
            <b:First>Sothan.</b:First>
          </b:Person>
        </b:NameList>
      </b:Author>
    </b:Author>
    <b:JournalName>Cogent Economic and Finance, Vol.3</b:JournalName>
    <b:RefOrder>1</b:RefOrder>
  </b:Source>
  <b:Source>
    <b:Tag>Wat05</b:Tag>
    <b:SourceType>JournalArticle</b:SourceType>
    <b:Guid>{9906B52F-22BA-465C-BC5D-C9D2BBCF70D6}</b:Guid>
    <b:Title>New Simple Test for panel Cointegration</b:Title>
    <b:JournalName>journal of economic rewiew</b:JournalName>
    <b:Year>2005</b:Year>
    <b:Author>
      <b:Author>
        <b:NameList>
          <b:Person>
            <b:Last>J</b:Last>
            <b:First>Waterlurd.</b:First>
          </b:Person>
        </b:NameList>
      </b:Author>
    </b:Author>
    <b:RefOrder>2</b:RefOrder>
  </b:Source>
  <b:Source>
    <b:Tag>Agr13</b:Tag>
    <b:SourceType>JournalArticle</b:SourceType>
    <b:Guid>{E88D1BD2-C19C-4D9F-ACFC-AA9977E50DEC}</b:Guid>
    <b:Author>
      <b:Author>
        <b:NameList>
          <b:Person>
            <b:Last>G</b:Last>
            <b:First>Agrawal.</b:First>
          </b:Person>
        </b:NameList>
      </b:Author>
    </b:Author>
    <b:Title>Foreign Direct Investment and Economic Growth in BRICS Economies: A Panel Data Analysis, </b:Title>
    <b:JournalName>Journal of Economics, Business and Management, Vol.3(4) </b:JournalName>
    <b:Year>2013</b:Year>
    <b:Pages>421-425</b:Pages>
    <b:RefOrder>3</b:RefOrder>
  </b:Source>
  <b:Source>
    <b:Tag>Moh13</b:Tag>
    <b:SourceType>ConferenceProceedings</b:SourceType>
    <b:Guid>{75410DBB-0879-4CA6-B359-34082C12E340}</b:Guid>
    <b:Title>Foreign Direct Investment and Economic from 1994-2012</b:Title>
    <b:Year>2013</b:Year>
    <b:Author>
      <b:Author>
        <b:NameList>
          <b:Person>
            <b:Last>A</b:Last>
            <b:First>Mohammad.</b:First>
            <b:Middle>A. A and Mahmoud. K.</b:Middle>
          </b:Person>
        </b:NameList>
      </b:Author>
    </b:Author>
    <b:ConferenceName>International Confrence on Innovation, Management and Technology Research</b:ConferenceName>
    <b:City>Malaysia</b:City>
    <b:Publisher>UPM</b:Publisher>
    <b:RefOrder>4</b:RefOrder>
  </b:Source>
  <b:Source>
    <b:Tag>Amu17</b:Tag>
    <b:SourceType>JournalArticle</b:SourceType>
    <b:Guid>{58B99C8E-C67D-4E91-97D3-F018AA68B908}</b:Guid>
    <b:Title>Tax Incentives and Foreign Direct Investment to Non-Oil Sector: Empi</b:Title>
    <b:Pages>57-64</b:Pages>
    <b:Year>2017</b:Year>
    <b:Author>
      <b:Author>
        <b:NameList>
          <b:Person>
            <b:Last>Amuka</b:Last>
            <b:First>J</b:First>
            <b:Middle>and Fidelis, E</b:Middle>
          </b:Person>
        </b:NameList>
      </b:Author>
    </b:Author>
    <b:JournalName>Asian Journal of Social Sciences and management, Vol.4(1)</b:JournalName>
    <b:RefOrder>5</b:RefOrder>
  </b:Source>
  <b:Source>
    <b:Tag>OEC08</b:Tag>
    <b:SourceType>Book</b:SourceType>
    <b:Guid>{E55CCFE5-77A6-487B-82B5-11C55E2E2A86}</b:Guid>
    <b:Title>Benchmark Defination of Foregn Direct Investment</b:Title>
    <b:Year>2008</b:Year>
    <b:Author>
      <b:Author>
        <b:NameList>
          <b:Person>
            <b:Last>OECD</b:Last>
          </b:Person>
        </b:NameList>
      </b:Author>
    </b:Author>
    <b:City>Newyork</b:City>
    <b:Publisher>United Nations</b:Publisher>
    <b:RefOrder>6</b:RefOrder>
  </b:Source>
  <b:Source>
    <b:Tag>Bot06</b:Tag>
    <b:SourceType>JournalArticle</b:SourceType>
    <b:Guid>{1D54E2BA-81B7-4CB4-A9FE-737881934DA3}</b:Guid>
    <b:Title>Main Determinant of Foreign Direct Investment in South East European Countries</b:Title>
    <b:Year>2006</b:Year>
    <b:Author>
      <b:Author>
        <b:NameList>
          <b:Person>
            <b:Last>Botric</b:Last>
            <b:First>V</b:First>
            <b:Middle>and Skuflic, L</b:Middle>
          </b:Person>
        </b:NameList>
      </b:Author>
    </b:Author>
    <b:JournalName>Transitional Economic Review, Vol. 13(2)</b:JournalName>
    <b:Pages>359-377</b:Pages>
    <b:RefOrder>7</b:RefOrder>
  </b:Source>
  <b:Source>
    <b:Tag>Far08</b:Tag>
    <b:SourceType>JournalArticle</b:SourceType>
    <b:Guid>{E14E31E8-7E77-4BBE-AF26-B57F915A4F5B}</b:Guid>
    <b:Author>
      <b:Author>
        <b:NameList>
          <b:Person>
            <b:Last>Farrell</b:Last>
            <b:First>R</b:First>
          </b:Person>
        </b:NameList>
      </b:Author>
    </b:Author>
    <b:Title>Japanese Investment IN World Economy:  A Study of Strategic Themes in the Internationalization of Japanese Industries</b:Title>
    <b:JournalName>Britain Edward Review</b:JournalName>
    <b:Year>2008</b:Year>
    <b:RefOrder>8</b:RefOrder>
  </b:Source>
  <b:Source>
    <b:Tag>Gri06</b:Tag>
    <b:SourceType>Book</b:SourceType>
    <b:Guid>{BACB5839-EBB3-4365-9559-7867E23072BA}</b:Guid>
    <b:Author>
      <b:Author>
        <b:NameList>
          <b:Person>
            <b:Last>Griffin</b:Last>
            <b:First>R.</b:First>
            <b:Middle>W and Pustay, M. W</b:Middle>
          </b:Person>
        </b:NameList>
      </b:Author>
    </b:Author>
    <b:Title>International Business : Managerial Perspectives, 5th(ed)</b:Title>
    <b:Year>2006</b:Year>
    <b:City>New Jersey</b:City>
    <b:Publisher>Peason/ Printice Hall</b:Publisher>
    <b:RefOrder>9</b:RefOrder>
  </b:Source>
  <b:Source>
    <b:Tag>Mas02</b:Tag>
    <b:SourceType>JournalArticle</b:SourceType>
    <b:Guid>{54E3949A-A0F4-4746-9E3F-21FB7F02F23F}</b:Guid>
    <b:Title>International Property Rights and Foreign Direct Investment</b:Title>
    <b:Year>2002</b:Year>
    <b:Author>
      <b:Author>
        <b:NameList>
          <b:Person>
            <b:Last>Maskus</b:Last>
            <b:First>K.</b:First>
            <b:Middle>E</b:Middle>
          </b:Person>
        </b:NameList>
      </b:Author>
    </b:Author>
    <b:JournalName>Journal of International Economics</b:JournalName>
    <b:RefOrder>10</b:RefOrder>
  </b:Source>
  <b:Source>
    <b:Tag>DeM99</b:Tag>
    <b:SourceType>JournalArticle</b:SourceType>
    <b:Guid>{07378499-CD85-474A-8C3E-F70B7974C82A}</b:Guid>
    <b:Author>
      <b:Author>
        <b:NameList>
          <b:Person>
            <b:Last>De Mello</b:Last>
            <b:First>L.</b:First>
            <b:Middle>R</b:Middle>
          </b:Person>
        </b:NameList>
      </b:Author>
    </b:Author>
    <b:Title>Foreign Direct Investment Led Growth: Evidence from Time Series and Panel Data</b:Title>
    <b:JournalName>Oxford Econonmic Papers, Vol. 51(1)</b:JournalName>
    <b:Year>1999</b:Year>
    <b:Pages>133-151</b:Pages>
    <b:RefOrder>11</b:RefOrder>
  </b:Source>
  <b:Source>
    <b:Tag>Meh12</b:Tag>
    <b:SourceType>JournalArticle</b:SourceType>
    <b:Guid>{820E586F-95E4-484E-B062-98DB88B55EF0}</b:Guid>
    <b:Author>
      <b:Author>
        <b:NameList>
          <b:Person>
            <b:Last>Mehdi</b:Last>
            <b:First>B</b:First>
          </b:Person>
        </b:NameList>
      </b:Author>
    </b:Author>
    <b:Title>Foreign Direct Investment and Economic Growth: EvidenceSouth Asia</b:Title>
    <b:JournalName>Atlantic Review of Economics</b:JournalName>
    <b:Year>2012</b:Year>
    <b:RefOrder>12</b:RefOrder>
  </b:Source>
  <b:Source>
    <b:Tag>Pet16</b:Tag>
    <b:SourceType>JournalArticle</b:SourceType>
    <b:Guid>{22AC57B7-D815-4DA4-B9E2-50DD2A99902A}</b:Guid>
    <b:Author>
      <b:Author>
        <b:NameList>
          <b:Person>
            <b:Last>Petr</b:Last>
            <b:First>H</b:First>
            <b:Middle>and Beata, B</b:Middle>
          </b:Person>
        </b:NameList>
      </b:Author>
    </b:Author>
    <b:Title>Impact of Foreign Direct Investment on Economic Growth in Central and Eastern European Countries</b:Title>
    <b:JournalName>Inzinerine Ekonomika- Engineering Economics, Vol27(3)</b:JournalName>
    <b:Year>2016</b:Year>
    <b:Pages>249-303</b:Pages>
    <b:RefOrder>13</b:RefOrder>
  </b:Source>
  <b:Source>
    <b:Tag>Arg03</b:Tag>
    <b:SourceType>JournalArticle</b:SourceType>
    <b:Guid>{B9626165-EFB1-4E59-90F4-A9502C1B28BD}</b:Guid>
    <b:Author>
      <b:Author>
        <b:NameList>
          <b:Person>
            <b:Last>Argiro</b:Last>
            <b:First>M</b:First>
          </b:Person>
        </b:NameList>
      </b:Author>
    </b:Author>
    <b:Title>Foreign Direct Investment and Economic  Growth in European Union</b:Title>
    <b:JournalName>Journal of Economic Integration, Vol.18(4)</b:JournalName>
    <b:Year>2003</b:Year>
    <b:Pages>689-707</b:Pages>
    <b:RefOrder>14</b:RefOrder>
  </b:Source>
  <b:Source>
    <b:Tag>Aku15</b:Tag>
    <b:SourceType>JournalArticle</b:SourceType>
    <b:Guid>{9FC84063-F795-4983-9A83-4981D2447C49}</b:Guid>
    <b:Author>
      <b:Author>
        <b:NameList>
          <b:Person>
            <b:Last>Akumoko</b:Last>
            <b:First>T.P</b:First>
            <b:Middle>and Karimo, T. M</b:Middle>
          </b:Person>
        </b:NameList>
      </b:Author>
    </b:Author>
    <b:Title>Foregn Direct Investment and Economic Growth in Nigeria: An Analysis of Endogeneous Growth  Effects</b:Title>
    <b:JournalName>International Journal of Management and Economic Invension, Vol.1(1)</b:JournalName>
    <b:Year>2015</b:Year>
    <b:Pages>45-64</b:Pages>
    <b:RefOrder>15</b:RefOrder>
  </b:Source>
  <b:Source>
    <b:Tag>Akp17</b:Tag>
    <b:SourceType>JournalArticle</b:SourceType>
    <b:Guid>{350637B6-45C8-4B4C-8151-AA957F4B4C70}</b:Guid>
    <b:Author>
      <b:Author>
        <b:NameList>
          <b:Person>
            <b:Last>Akpan</b:Last>
            <b:First>E.</b:First>
            <b:Middle>S and Gamaliel, O. E</b:Middle>
          </b:Person>
        </b:NameList>
      </b:Author>
    </b:Author>
    <b:Title>Foreign Direct Investment and Industrial  Sector Performance: Assessing the Long Run Implication on Economic Growth</b:Title>
    <b:JournalName>Journal of Mathematical Finance, Vol7(1)</b:JournalName>
    <b:Year>2017</b:Year>
    <b:Pages>391-411</b:Pages>
    <b:RefOrder>16</b:RefOrder>
  </b:Source>
  <b:Source>
    <b:Tag>Tho14</b:Tag>
    <b:SourceType>ConferenceProceedings</b:SourceType>
    <b:Guid>{03118A85-715D-4E3E-B851-FDBD95C06469}</b:Guid>
    <b:Title>TheImpact of Foreign Direct Investment on Economic: An Empirical Analysis of Different Effects in Less and more Developed Countries, </b:Title>
    <b:Year>2014</b:Year>
    <b:Author>
      <b:Author>
        <b:NameList>
          <b:Person>
            <b:Last>Thomas</b:Last>
            <b:First>B</b:First>
          </b:Person>
        </b:NameList>
      </b:Author>
    </b:Author>
    <b:ConferenceName>Working Papers on innovation and space </b:ConferenceName>
    <b:City>Murburg</b:City>
    <b:Publisher>Philips- Universitat</b:Publisher>
    <b:RefOrder>17</b:RefOrder>
  </b:Source>
  <b:Source>
    <b:Tag>Mus18</b:Tag>
    <b:SourceType>JournalArticle</b:SourceType>
    <b:Guid>{82F81124-B912-49EE-A229-4EED9BBEEA26}</b:Guid>
    <b:Author>
      <b:Author>
        <b:NameList>
          <b:Person>
            <b:Last>Music</b:Last>
            <b:First>M</b:First>
          </b:Person>
        </b:NameList>
      </b:Author>
    </b:Author>
    <b:Title>Importance and Impact of Foreign Investment on Economic Development of Bosnia and Herzegovina</b:Title>
    <b:JournalName>Economics</b:JournalName>
    <b:Year>2018</b:Year>
    <b:Pages>63-80</b:Pages>
    <b:RefOrder>1</b:RefOrder>
  </b:Source>
  <b:Source>
    <b:Tag>Sab18</b:Tag>
    <b:SourceType>JournalArticle</b:SourceType>
    <b:Guid>{CA1B0D7C-B06E-423E-8E82-FDACC535AE58}</b:Guid>
    <b:Author>
      <b:Author>
        <b:Corporate>Sabernia, A. Sabernia, A. &amp; Shamakhi, H</b:Corporate>
      </b:Author>
    </b:Author>
    <b:Title>Investigating the Relationship Between Domestic Production, Investment Fows &amp; Development of Financial Market of Iran</b:Title>
    <b:JournalName>Management</b:JournalName>
    <b:Year>2018</b:Year>
    <b:Pages>41-46</b:Pages>
    <b:RefOrder>2</b:RefOrder>
  </b:Source>
  <b:Source>
    <b:Tag>Ndi16</b:Tag>
    <b:SourceType>JournalArticle</b:SourceType>
    <b:Guid>{9C71F602-3E31-4545-B985-416322A71ABF}</b:Guid>
    <b:Author>
      <b:Author>
        <b:Corporate>Ndiaye, G &amp; Xu, H</b:Corporate>
      </b:Author>
    </b:Author>
    <b:Title>Impact of Foreign Direct Investment on Economic Growth in WAEMU from 1990-2012</b:Title>
    <b:JournalName>International Journal of Financial Research, Vol.7 (4)</b:JournalName>
    <b:Year>2016</b:Year>
    <b:Pages>33-43</b:Pages>
    <b:RefOrder>3</b:RefOrder>
  </b:Source>
  <b:Source>
    <b:Tag>Ogb18</b:Tag>
    <b:SourceType>JournalArticle</b:SourceType>
    <b:Guid>{16F2BE35-605B-4C87-9506-3F38B1BF8F61}</b:Guid>
    <b:Author>
      <b:Author>
        <b:NameList>
          <b:Person>
            <b:Last>Ogbokor</b:Last>
            <b:First>C.</b:First>
            <b:Middle>A</b:Middle>
          </b:Person>
        </b:NameList>
      </b:Author>
    </b:Author>
    <b:Title>Foreign Direct Investment and Economic Progress: Application of Dynamic Model </b:Title>
    <b:JournalName>International journal of economic and Finance Studies, Vol.10(1)</b:JournalName>
    <b:Year>2018</b:Year>
    <b:Pages>1-15</b:Pages>
    <b:RefOrder>4</b:RefOrder>
  </b:Source>
  <b:Source>
    <b:Tag>Mas18</b:Tag>
    <b:SourceType>JournalArticle</b:SourceType>
    <b:Guid>{FA5ADAFB-2638-46B8-8FFA-FF6492F180DB}</b:Guid>
    <b:Author>
      <b:Author>
        <b:NameList>
          <b:Person>
            <b:Last>Masigia</b:Last>
            <b:First>A</b:First>
          </b:Person>
        </b:NameList>
      </b:Author>
    </b:Author>
    <b:Title>Analysis of foreign Direct Investment on Economic Growth in Vietnam </b:Title>
    <b:JournalName>International Journal of Economic, Finance, and Law, Vol. 15(5)</b:JournalName>
    <b:Year>2018</b:Year>
    <b:Pages>19-27</b:Pages>
    <b:RefOrder>5</b:RefOrder>
  </b:Source>
  <b:Source>
    <b:Tag>Moh131</b:Tag>
    <b:SourceType>JournalArticle</b:SourceType>
    <b:Guid>{C8930576-9030-4CA1-84F4-FE1BA2B88ED9}</b:Guid>
    <b:Author>
      <b:Author>
        <b:Corporate>Mohammed, K &amp; Mahmoud, A </b:Corporate>
      </b:Author>
    </b:Author>
    <b:Title>Foreign Direct Investment and Economic Growth in Europe: A panel Cointegration and Causality</b:Title>
    <b:JournalName>International Journal of Financial Studies</b:JournalName>
    <b:Year>2013</b:Year>
    <b:Pages>32-39</b:Pages>
    <b:RefOrder>6</b:RefOrder>
  </b:Source>
  <b:Source>
    <b:Tag>Kah02</b:Tag>
    <b:SourceType>JournalArticle</b:SourceType>
    <b:Guid>{AACE7543-003B-47CC-AC5D-D90C1A7AFD3F}</b:Guid>
    <b:Title>Representativeness revisited: Attribute substitution in intuitive judgment</b:Title>
    <b:Year>2002</b:Year>
    <b:Author>
      <b:Author>
        <b:NameList>
          <b:Person>
            <b:Last>Kahneman</b:Last>
            <b:First>Daniel</b:First>
          </b:Person>
          <b:Person>
            <b:Last>Frederick.</b:Last>
            <b:First>Shane</b:First>
          </b:Person>
        </b:NameList>
      </b:Author>
    </b:Author>
    <b:JournalName>Heuristics and biases: The psychology of intuitive judgment</b:JournalName>
    <b:RefOrder>11</b:RefOrder>
  </b:Source>
  <b:Source>
    <b:Tag>Van19</b:Tag>
    <b:SourceType>BookSection</b:SourceType>
    <b:Guid>{0860ADBC-5938-4D77-BE60-B562555CD2DD}</b:Guid>
    <b:Title>The Role of Information Processing for Product Perception</b:Title>
    <b:Year>2019</b:Year>
    <b:Publisher>Springer</b:Publisher>
    <b:BookTitle>Management for Professionals</b:BookTitle>
    <b:Author>
      <b:Author>
        <b:NameList>
          <b:Person>
            <b:Last>Van de Sand</b:Last>
            <b:First>Felix</b:First>
          </b:Person>
          <b:Person>
            <b:Last>Frison</b:Last>
            <b:Middle>Katharina </b:Middle>
            <b:First>Anna</b:First>
          </b:Person>
          <b:Person>
            <b:Last>Zotz</b:Last>
            <b:First>Pamela</b:First>
          </b:Person>
          <b:Person>
            <b:Last>Riener</b:Last>
            <b:First>Andreas</b:First>
          </b:Person>
          <b:Person>
            <b:Last>Holl</b:Last>
            <b:First>Katharina</b:First>
          </b:Person>
        </b:NameList>
      </b:Author>
    </b:Author>
    <b:RefOrder>12</b:RefOrder>
  </b:Source>
  <b:Source>
    <b:Tag>Pfi08</b:Tag>
    <b:SourceType>JournalArticle</b:SourceType>
    <b:Guid>{B9AFDE5F-C00B-4E6B-8B59-6898164E20D9}</b:Guid>
    <b:Title>The multiplicity of emotions: A framework of emotional functions in decision making</b:Title>
    <b:Year>2008</b:Year>
    <b:JournalName>Judgement and Decision Making</b:JournalName>
    <b:Author>
      <b:Author>
        <b:NameList>
          <b:Person>
            <b:Last>Pfister</b:Last>
            <b:Middle>Rüdiger</b:Middle>
            <b:First>Hans </b:First>
          </b:Person>
          <b:Person>
            <b:Last>Böhm</b:Last>
            <b:First>Gisela</b:First>
          </b:Person>
        </b:NameList>
      </b:Author>
    </b:Author>
    <b:RefOrder>13</b:RefOrder>
  </b:Source>
  <b:Source>
    <b:Tag>Sar19</b:Tag>
    <b:SourceType>JournalArticle</b:SourceType>
    <b:Guid>{B6BCFFA0-6F6C-400A-9463-1347EE2E9EC4}</b:Guid>
    <b:Title>Factors Affecting the Adoption of an Electronic Word of Mouth Message: A Meta-Analysis.</b:Title>
    <b:JournalName>Journal of Management Information Systems</b:JournalName>
    <b:Year>2019</b:Year>
    <b:Author>
      <b:Author>
        <b:NameList>
          <b:Person>
            <b:Last>Saremi</b:Last>
            <b:First>Qahri</b:First>
          </b:Person>
          <b:Person>
            <b:Last>Hamed</b:Last>
          </b:Person>
          <b:Person>
            <b:Last>Montazemi</b:Last>
            <b:Middle>Reza </b:Middle>
            <b:First>Ali</b:First>
          </b:Person>
        </b:NameList>
      </b:Author>
    </b:Author>
    <b:RefOrder>14</b:RefOrder>
  </b:Source>
  <b:Source>
    <b:Tag>Alb15</b:Tag>
    <b:SourceType>JournalArticle</b:SourceType>
    <b:Guid>{8E4CB430-DDF4-408D-BF3C-907F73605188}</b:Guid>
    <b:Title>Banks’ Profitability and Financial Soundness Indicators: A Macro-level Investigation in Emerging Countries. </b:Title>
    <b:JournalName>Procedia Economics and Finance. 23. 203-209. 10.1016/S2212-5671(15)00551-1.</b:JournalName>
    <b:Year>2015</b:Year>
    <b:Author>
      <b:Author>
        <b:NameList>
          <b:Person>
            <b:Last>Albulescu</b:Last>
            <b:Middle>Tiberiu</b:Middle>
            <b:First>Claudiu</b:First>
          </b:Person>
        </b:NameList>
      </b:Author>
    </b:Author>
    <b:RefOrder>33</b:RefOrder>
  </b:Source>
  <b:Source>
    <b:Tag>Ama10</b:Tag>
    <b:SourceType>JournalArticle</b:SourceType>
    <b:Guid>{59D14802-AAE0-47D5-90B7-E74F6C7CEECD}</b:Guid>
    <b:Title>The relationship between working capital management and profitability: Evidence from United States</b:Title>
    <b:JournalName>Business and Economics Journal</b:JournalName>
    <b:Year>2010</b:Year>
    <b:Author>
      <b:Author>
        <b:NameList>
          <b:Person>
            <b:Last>Amarjit</b:Last>
            <b:First>Gill</b:First>
          </b:Person>
          <b:Person>
            <b:Last>Nahum</b:Last>
            <b:First>Biger</b:First>
          </b:Person>
          <b:Person>
            <b:Last>Mathur</b:Last>
            <b:First>Neil</b:First>
          </b:Person>
        </b:NameList>
      </b:Author>
    </b:Author>
    <b:RefOrder>1</b:RefOrder>
  </b:Source>
  <b:Source>
    <b:Tag>Bhu18</b:Tag>
    <b:SourceType>JournalArticle</b:SourceType>
    <b:Guid>{C26687AB-A0E6-47A0-A6C7-6E537FC52FF3}</b:Guid>
    <b:Title>Impact of Working Capital Management on Financial Performance of the firm: Evidence from Pakistani Firms</b:Title>
    <b:JournalName>Journal of Management and Business</b:JournalName>
    <b:Year>2018</b:Year>
    <b:Pages>24-44</b:Pages>
    <b:Author>
      <b:Author>
        <b:NameList>
          <b:Person>
            <b:Last>Bhutto</b:Last>
            <b:First>Sarfaraz</b:First>
          </b:Person>
          <b:Person>
            <b:Last>Rajper</b:Last>
            <b:Middle>Ali</b:Middle>
            <b:First>Zulfiqar</b:First>
          </b:Person>
          <b:Person>
            <b:Last>Ghumro</b:Last>
            <b:Middle>Ali</b:Middle>
            <b:First>Iftikhar</b:First>
          </b:Person>
          <b:Person>
            <b:Last>Mangi</b:Last>
            <b:Middle>Ahmed</b:Middle>
            <b:First>Riaz</b:First>
          </b:Person>
        </b:NameList>
      </b:Author>
    </b:Author>
    <b:RefOrder>2</b:RefOrder>
  </b:Source>
  <b:Source>
    <b:Tag>Bor08</b:Tag>
    <b:SourceType>JournalArticle</b:SourceType>
    <b:Guid>{C28160B7-A944-4445-9AB3-709D33FD7EE8}</b:Guid>
    <b:Title>Financial performance impacts of Corporate Entrepreneurship in Emerging Markets: A case of Turkey</b:Title>
    <b:JournalName>European Journal of Economics, Finance and Administrative Sciences</b:JournalName>
    <b:Year>2008</b:Year>
    <b:Author>
      <b:Author>
        <b:NameList>
          <b:Person>
            <b:Last>Bora</b:Last>
            <b:First>Aktan</b:First>
          </b:Person>
          <b:Person>
            <b:Last>Cagri</b:Last>
            <b:First>Bulut</b:First>
          </b:Person>
        </b:NameList>
      </b:Author>
    </b:Author>
    <b:RefOrder>3</b:RefOrder>
  </b:Source>
  <b:Source>
    <b:Tag>But10</b:Tag>
    <b:SourceType>JournalArticle</b:SourceType>
    <b:Guid>{12B4530F-5111-46C2-9174-04031B310D98}</b:Guid>
    <b:Title>Financial Management Practices and their Impact on Organizational Performance</b:Title>
    <b:JournalName>World Applied Sciences Journal</b:JournalName>
    <b:Year>2010</b:Year>
    <b:Pages>997-1002</b:Pages>
    <b:Author>
      <b:Author>
        <b:NameList>
          <b:Person>
            <b:Last>Butt</b:Last>
            <b:Middle>Zaheer</b:Middle>
            <b:First>Baber</b:First>
          </b:Person>
          <b:Person>
            <b:Last>Hunjra</b:Last>
            <b:Middle>Imran</b:Middle>
            <b:First>Ahmed</b:First>
          </b:Person>
          <b:Person>
            <b:Last>Rehman</b:Last>
            <b:First>Kashif Ur</b:First>
          </b:Person>
        </b:NameList>
      </b:Author>
    </b:Author>
    <b:RefOrder>4</b:RefOrder>
  </b:Source>
  <b:Source>
    <b:Tag>Tar19</b:Tag>
    <b:SourceType>JournalArticle</b:SourceType>
    <b:Guid>{2CB57CE5-63C0-400D-9EBC-71CF0E77AA2C}</b:Guid>
    <b:Title>Practices of Capital Budgeting Techniques: Evidence from Corporate Sector of Pakistan</b:Title>
    <b:JournalName>NUML International Journal of Business and Management </b:JournalName>
    <b:Year>2019</b:Year>
    <b:Pages>16-28</b:Pages>
    <b:Author>
      <b:Author>
        <b:NameList>
          <b:Person>
            <b:Last>Tariq</b:Last>
            <b:First>Muhammad</b:First>
          </b:Person>
          <b:Person>
            <b:Last>Khattak</b:Last>
            <b:Middle>Rahman</b:Middle>
            <b:First>Sajid</b:First>
          </b:Person>
        </b:NameList>
      </b:Author>
    </b:Author>
    <b:RefOrder>5</b:RefOrder>
  </b:Source>
  <b:Source>
    <b:Tag>Rah071</b:Tag>
    <b:SourceType>JournalArticle</b:SourceType>
    <b:Guid>{48F13C00-37BE-4BF0-8F3C-DF529B7B8DE6}</b:Guid>
    <b:Year>2007</b:Year>
    <b:Pages>279-300</b:Pages>
    <b:Author>
      <b:Author>
        <b:NameList>
          <b:Person>
            <b:Last>Raheman</b:Last>
            <b:First>Abdul</b:First>
          </b:Person>
          <b:Person>
            <b:Last>Nasr</b:Last>
            <b:First>Mohamed</b:First>
          </b:Person>
        </b:NameList>
      </b:Author>
    </b:Author>
    <b:RefOrder>6</b:RefOrder>
  </b:Source>
  <b:Source>
    <b:Tag>Mun17</b:Tag>
    <b:SourceType>JournalArticle</b:SourceType>
    <b:Guid>{1E38682B-0AD4-42A3-99EF-59CBBCDB37E0}</b:Guid>
    <b:Title>Impact of Financial Management Practices on SMEs Profitability with Moderating Role of Agency Cost</b:Title>
    <b:JournalName>Information Management and Business Review</b:JournalName>
    <b:Year>2017</b:Year>
    <b:Pages>23-30</b:Pages>
    <b:Author>
      <b:Author>
        <b:NameList>
          <b:Person>
            <b:Last>Muneer </b:Last>
            <b:First>Saqib</b:First>
          </b:Person>
          <b:Person>
            <b:Last>Ahmad</b:Last>
            <b:Middle>Abrar</b:Middle>
            <b:First>Rao</b:First>
          </b:Person>
          <b:Person>
            <b:Last>Ali</b:Last>
            <b:First>Azhar</b:First>
          </b:Person>
        </b:NameList>
      </b:Author>
    </b:Author>
    <b:RefOrder>7</b:RefOrder>
  </b:Source>
  <b:Source>
    <b:Tag>Van20</b:Tag>
    <b:SourceType>JournalArticle</b:SourceType>
    <b:Guid>{D05868DD-C473-4287-9F24-C6CB5DB632DB}</b:Guid>
    <b:Title>Capital Investments and Manufacturing Firms’ Performance: Panel Data Analysis</b:Title>
    <b:JournalName>Sustainability</b:JournalName>
    <b:Year>2020</b:Year>
    <b:Pages>1-18</b:Pages>
    <b:Author>
      <b:Author>
        <b:NameList>
          <b:Person>
            <b:Last>Vanja</b:Last>
            <b:First>Grozdic</b:First>
          </b:Person>
          <b:Person>
            <b:Last>Branislav</b:Last>
            <b:First>Maric</b:First>
          </b:Person>
          <b:Person>
            <b:Last>Mladen</b:Last>
            <b:First>Rasdisic</b:First>
          </b:Person>
          <b:Person>
            <b:Last>Jarmila</b:Last>
            <b:First>Sebestova</b:First>
          </b:Person>
          <b:Person>
            <b:Last>Marcin</b:Last>
            <b:First>Lis</b:First>
          </b:Person>
        </b:NameList>
      </b:Author>
    </b:Author>
    <b:RefOrder>8</b:RefOrder>
  </b:Source>
  <b:Source>
    <b:Tag>Rah10</b:Tag>
    <b:SourceType>JournalArticle</b:SourceType>
    <b:Guid>{4EE86709-39C3-41C1-8734-0A9C150CAE4F}</b:Guid>
    <b:Title>Working Capital Management and Corporate Performance of Manufacturing Sector in Pakistan</b:Title>
    <b:JournalName>International Research Journal fo Finance and Economics</b:JournalName>
    <b:Year>2010</b:Year>
    <b:Pages>151-163</b:Pages>
    <b:Author>
      <b:Author>
        <b:NameList>
          <b:Person>
            <b:Last>Raheman</b:Last>
            <b:First>Abdul</b:First>
          </b:Person>
          <b:Person>
            <b:Last>Afza</b:Last>
            <b:First>Talat</b:First>
          </b:Person>
          <b:Person>
            <b:Last>Qayyum</b:Last>
            <b:First>Abdul</b:First>
          </b:Person>
          <b:Person>
            <b:Last>Bodla</b:Last>
            <b:Middle>Ahmed</b:Middle>
            <b:First>Mahmood</b:First>
          </b:Person>
        </b:NameList>
      </b:Author>
    </b:Author>
    <b:RefOrder>9</b:RefOrder>
  </b:Source>
  <b:Source>
    <b:Tag>Gra20</b:Tag>
    <b:SourceType>JournalArticle</b:SourceType>
    <b:Guid>{B1E8A978-76B6-4B3F-82D0-047473F6436D}</b:Guid>
    <b:Title>What happens after an investment spike-investment events and firm performance.</b:Title>
    <b:JournalName>Journal Business</b:JournalName>
    <b:Year>2020</b:Year>
    <b:Author>
      <b:Author>
        <b:NameList>
          <b:Person>
            <b:Last>Gradzewicz</b:Last>
            <b:First>M</b:First>
          </b:Person>
        </b:NameList>
      </b:Author>
    </b:Author>
    <b:RefOrder>10</b:RefOrder>
  </b:Source>
  <b:Source>
    <b:Tag>Eco19</b:Tag>
    <b:SourceType>Misc</b:SourceType>
    <b:Guid>{4B4A8A5C-3011-4F0B-8F2D-BFEB9F714659}</b:Guid>
    <b:Title>Economic Survey of Pakistan</b:Title>
    <b:Year>2021-2022</b:Year>
    <b:CountryRegion>Pakistan</b:CountryRegion>
    <b:RefOrder>11</b:RefOrder>
  </b:Source>
  <b:Source>
    <b:Tag>Placeholder1</b:Tag>
    <b:SourceType>Misc</b:SourceType>
    <b:Guid>{84DC3212-45B9-427F-8427-0473961A2444}</b:Guid>
    <b:Title>Economic Survey of Pakistan</b:Title>
    <b:Year>2019-2020</b:Year>
    <b:CountryRegion>Pakistan</b:CountryRegion>
    <b:RefOrder>12</b:RefOrder>
  </b:Source>
  <b:Source>
    <b:Tag>Mye84</b:Tag>
    <b:SourceType>JournalArticle</b:SourceType>
    <b:Guid>{024B5BB2-2C11-4784-BE8B-5B76A28A0384}</b:Guid>
    <b:Title>The Capital Structure Puzzle</b:Title>
    <b:JournalName>Journal of Finance </b:JournalName>
    <b:Year>1984</b:Year>
    <b:Pages>575-592</b:Pages>
    <b:Author>
      <b:Author>
        <b:NameList>
          <b:Person>
            <b:Last>Myers</b:Last>
            <b:First>S.C</b:First>
          </b:Person>
        </b:NameList>
      </b:Author>
    </b:Author>
    <b:RefOrder>13</b:RefOrder>
  </b:Source>
  <b:Source>
    <b:Tag>LiQ16</b:Tag>
    <b:SourceType>Report</b:SourceType>
    <b:Guid>{E0B807E4-B539-4864-9779-0843A570DD6C}</b:Guid>
    <b:Title>Working Capital Management and its effect on the profitability of Chinese listed firms</b:Title>
    <b:Year>2016</b:Year>
    <b:Publisher>Instituto Universitario de Lisboa</b:Publisher>
    <b:Author>
      <b:Author>
        <b:NameList>
          <b:Person>
            <b:Last>Li</b:Last>
            <b:First>Qian</b:First>
          </b:Person>
        </b:NameList>
      </b:Author>
    </b:Author>
    <b:RefOrder>14</b:RefOrder>
  </b:Source>
  <b:Source>
    <b:Tag>Ron22</b:Tag>
    <b:SourceType>JournalArticle</b:SourceType>
    <b:Guid>{B0530D7B-5657-4A11-BBFA-A8AACD336646}</b:Guid>
    <b:Title>The Effect of Working Capital Turnover, Accounts Receivable Turnover and Inventory Turnover on Profitability levels on the Indonesia Stock Exchange 2015-2019</b:Title>
    <b:JournalName>Psychology and Education</b:JournalName>
    <b:Year>2022</b:Year>
    <b:Pages>385-396</b:Pages>
    <b:Author>
      <b:Author>
        <b:NameList>
          <b:Person>
            <b:Last>Roni</b:Last>
            <b:First>Herison</b:First>
          </b:Person>
          <b:Person>
            <b:Last>Romansyah</b:Last>
            <b:First>Sahabuddin</b:First>
          </b:Person>
          <b:Person>
            <b:Last>Muhammed</b:Last>
            <b:First>Azis</b:First>
          </b:Person>
          <b:Person>
            <b:Last>Fajriani</b:Last>
            <b:First>Azis</b:First>
          </b:Person>
        </b:NameList>
      </b:Author>
    </b:Author>
    <b:RefOrder>15</b:RefOrder>
  </b:Source>
  <b:Source>
    <b:Tag>Tob14</b:Tag>
    <b:SourceType>JournalArticle</b:SourceType>
    <b:Guid>{3AC55BCF-0283-4503-A8E0-42D80E455073}</b:Guid>
    <b:Title>Working Capital Management Policy And Corporate Profitability Of Nigerian Quoted Companies: A sectoral Analysis</b:Title>
    <b:Year>2014</b:Year>
    <b:Author>
      <b:Author>
        <b:NameList>
          <b:Person>
            <b:Last>Toby</b:Last>
            <b:First>Adolphus</b:First>
          </b:Person>
        </b:NameList>
      </b:Author>
    </b:Author>
    <b:JournalName>International Journal of Financial Mangement</b:JournalName>
    <b:Pages>9-20</b:Pages>
    <b:RefOrder>16</b:RefOrder>
  </b:Source>
  <b:Source>
    <b:Tag>You19</b:Tag>
    <b:SourceType>JournalArticle</b:SourceType>
    <b:Guid>{1B0641FC-D1E7-466E-8F47-65BC5B2B7C6B}</b:Guid>
    <b:Title>The Effect of Sales Growth, Capital Expenditure, and Working Capital Efficiency on Indonesian-Listed-Consumer-Goods Firms’ Financial Performance with Capital Structure as Moderating Variable</b:Title>
    <b:JournalName>INDONESIAN JOURNAL OF ECONOMICS, SOCIAL, AND HUMANITIES</b:JournalName>
    <b:Year>2019</b:Year>
    <b:Pages>1-15</b:Pages>
    <b:Author>
      <b:Author>
        <b:NameList>
          <b:Person>
            <b:Last>Youlanda</b:Last>
            <b:First>Githa Dovita</b:First>
          </b:Person>
          <b:Person>
            <b:Last>Andewi</b:Last>
            <b:First>Rokhmawati</b:First>
          </b:Person>
          <b:Person>
            <b:Last>Ahmed </b:Last>
            <b:First>Fauzan Fathoni</b:First>
          </b:Person>
        </b:NameList>
      </b:Author>
    </b:Author>
    <b:RefOrder>17</b:RefOrder>
  </b:Source>
  <b:Source>
    <b:Tag>Ish17</b:Tag>
    <b:SourceType>JournalArticle</b:SourceType>
    <b:Guid>{8058C05E-B4EE-4920-9F0A-64EAD5846666}</b:Guid>
    <b:Title>Investment Decisions and Capital Budgeting Practices in Manufacturing Sector of Pakistan</b:Title>
    <b:JournalName>Journal of Managerial Sciences</b:JournalName>
    <b:Year>2017</b:Year>
    <b:Pages>150-183</b:Pages>
    <b:Author>
      <b:Author>
        <b:NameList>
          <b:Person>
            <b:Last>Ishtiaq</b:Last>
            <b:First>Muhammad</b:First>
          </b:Person>
          <b:Person>
            <b:Last>Latif</b:Last>
            <b:First>Khalid</b:First>
          </b:Person>
          <b:Person>
            <b:Last>Saleem</b:Last>
            <b:First>Muhammed</b:First>
          </b:Person>
          <b:Person>
            <b:Last>Tahir</b:Last>
            <b:First>Nayyer</b:First>
          </b:Person>
          <b:Person>
            <b:Last>Tahir</b:Last>
            <b:First>Tayyab</b:First>
          </b:Person>
        </b:NameList>
      </b:Author>
    </b:Author>
    <b:RefOrder>18</b:RefOrder>
  </b:Source>
  <b:Source>
    <b:Tag>Ali15</b:Tag>
    <b:SourceType>JournalArticle</b:SourceType>
    <b:Guid>{6E4AE929-C333-426D-9850-E0EA72A33369}</b:Guid>
    <b:Title>Determinants of capital structure: An empirical study of firms in Iran</b:Title>
    <b:JournalName>International Journal of Law and Management</b:JournalName>
    <b:Year>2015</b:Year>
    <b:Pages>53-57</b:Pages>
    <b:Author>
      <b:Author>
        <b:NameList>
          <b:Person>
            <b:Last>Alipour</b:Last>
            <b:First>M</b:First>
          </b:Person>
          <b:Person>
            <b:Last>Muhammadan</b:Last>
            <b:First>MFS</b:First>
          </b:Person>
          <b:Person>
            <b:Last>Derakshan</b:Last>
            <b:First>H</b:First>
          </b:Person>
        </b:NameList>
      </b:Author>
    </b:Author>
    <b:RefOrder>19</b:RefOrder>
  </b:Source>
  <b:Source>
    <b:Tag>Shi22</b:Tag>
    <b:SourceType>JournalArticle</b:SourceType>
    <b:Guid>{BE5A3FF6-0E58-4E95-8B2D-F2BDC937CADD}</b:Guid>
    <b:Title>What Determines Profitability in the Indian Automobile Industry?</b:Title>
    <b:JournalName>The Indian Economic Journal</b:JournalName>
    <b:Year>2022</b:Year>
    <b:Author>
      <b:Author>
        <b:NameList>
          <b:Person>
            <b:Last>Shilpi</b:Last>
            <b:First>Tyagi</b:First>
          </b:Person>
          <b:Person>
            <b:Last>Varun</b:Last>
            <b:First>Mahajan</b:First>
          </b:Person>
        </b:NameList>
      </b:Author>
    </b:Author>
    <b:RefOrder>20</b:RefOrder>
  </b:Source>
  <b:Source>
    <b:Tag>Bri</b:Tag>
    <b:SourceType>Book</b:SourceType>
    <b:Guid>{C49E437B-89AF-4719-A5F3-643EC4A55881}</b:Guid>
    <b:Title>Financial Management , Theory and Practice</b:Title>
    <b:Author>
      <b:Author>
        <b:NameList>
          <b:Person>
            <b:Last>Brigham</b:Last>
            <b:Middle>F.</b:Middle>
            <b:First>Eugene</b:First>
          </b:Person>
          <b:Person>
            <b:Last>Ehrhardt</b:Last>
            <b:Middle>C.</b:Middle>
            <b:First>Michael</b:First>
          </b:Person>
        </b:NameList>
      </b:Author>
    </b:Author>
    <b:Publisher>MC Graw Hill</b:Publisher>
    <b:Year>2018</b:Year>
    <b:RefOrder>21</b:RefOrder>
  </b:Source>
  <b:Source>
    <b:Tag>Yen161</b:Tag>
    <b:SourceType>JournalArticle</b:SourceType>
    <b:Guid>{106B6C3F-688B-4165-8A2A-BCD88EBB4FC2}</b:Guid>
    <b:Year>2016</b:Year>
    <b:JournalName>Research Journal of Finance and Accounting</b:JournalName>
    <b:Pages>66-76</b:Pages>
    <b:Author>
      <b:Author>
        <b:NameList>
          <b:Person>
            <b:Last>Yensu</b:Last>
            <b:First>Joseph</b:First>
          </b:Person>
          <b:Person>
            <b:Last>Yiadom</b:Last>
            <b:Middle>Konadu</b:Middle>
            <b:First>Emmanuel</b:First>
          </b:Person>
          <b:Person>
            <b:Last>Awatey</b:Last>
            <b:First>Samuel</b:First>
          </b:Person>
        </b:NameList>
      </b:Author>
    </b:Author>
    <b:Title>Financial Management Practices and Profitability</b:Title>
    <b:RefOrder>22</b:RefOrder>
  </b:Source>
  <b:Source>
    <b:Tag>Bel10</b:Tag>
    <b:SourceType>Report</b:SourceType>
    <b:Guid>{F1469E9A-35F9-4D49-8C28-1EE193C83849}</b:Guid>
    <b:Title>The Effect of Working Capital Management Policies on Firms' Profitability</b:Title>
    <b:Year>2010</b:Year>
    <b:Publisher>Mekelle University </b:Publisher>
    <b:City>Ethopia</b:City>
    <b:Author>
      <b:Author>
        <b:NameList>
          <b:Person>
            <b:Last>Belay</b:Last>
            <b:Middle>Abera</b:Middle>
            <b:First>Tewodros</b:First>
          </b:Person>
        </b:NameList>
      </b:Author>
    </b:Author>
    <b:RefOrder>23</b:RefOrder>
  </b:Source>
  <b:Source>
    <b:Tag>Jam</b:Tag>
    <b:SourceType>Book</b:SourceType>
    <b:Guid>{84DB1D99-9A3C-4A42-882C-65CFB2B4DB73}</b:Guid>
    <b:Author>
      <b:Author>
        <b:NameList>
          <b:Person>
            <b:Last>Van Horne</b:Last>
            <b:Middle>C.</b:Middle>
            <b:First>James</b:First>
          </b:Person>
          <b:Person>
            <b:Last>Wachowicz</b:Last>
            <b:Middle>M.</b:Middle>
            <b:First>John</b:First>
          </b:Person>
        </b:NameList>
      </b:Author>
    </b:Author>
    <b:Title>Fundamentals of Financial Management</b:Title>
    <b:Publisher>Prentice Hall</b:Publisher>
    <b:Year>2008</b:Year>
    <b:RefOrder>24</b:RefOrder>
  </b:Source>
  <b:Source>
    <b:Tag>Ash13</b:Tag>
    <b:SourceType>JournalArticle</b:SourceType>
    <b:Guid>{66346C9D-89D3-46BB-ADEC-9389975D3C3B}</b:Guid>
    <b:Title>Determining the impact of working capital management on profitability: An empirical study of Automobile Sector in Pakistan</b:Title>
    <b:JournalName>Journal of Business Administration and Management Sciences</b:JournalName>
    <b:Year>2013</b:Year>
    <b:Author>
      <b:Author>
        <b:NameList>
          <b:Person>
            <b:Last>Ishfaque</b:Last>
            <b:First>Ahmed</b:First>
          </b:Person>
          <b:Person>
            <b:Last>Mubashir</b:Last>
            <b:First>Ali</b:First>
            <b:Middle>Khan</b:Middle>
          </b:Person>
        </b:NameList>
      </b:Author>
    </b:Author>
    <b:RefOrder>25</b:RefOrder>
  </b:Source>
  <b:Source>
    <b:Tag>Aul22</b:Tag>
    <b:SourceType>JournalArticle</b:SourceType>
    <b:Guid>{D8AD9B37-22B1-43D7-BE80-F8795ED9FE35}</b:Guid>
    <b:Title>Analysis of Working Capital Management against Profitability at Cv. Dalyn Photo Studio</b:Title>
    <b:JournalName>Invoice Journal</b:JournalName>
    <b:Year>2022</b:Year>
    <b:Pages>154-164</b:Pages>
    <b:Author>
      <b:Author>
        <b:NameList>
          <b:Person>
            <b:Last>Aulia</b:Last>
          </b:Person>
          <b:Person>
            <b:Last>Firman</b:Last>
            <b:First>Syah</b:First>
          </b:Person>
          <b:Person>
            <b:Last>M.</b:Last>
            <b:First>Hidayat</b:First>
          </b:Person>
        </b:NameList>
      </b:Author>
    </b:Author>
    <b:RefOrder>26</b:RefOrder>
  </b:Source>
  <b:Source>
    <b:Tag>Yoh18</b:Tag>
    <b:SourceType>JournalArticle</b:SourceType>
    <b:Guid>{382D4534-25F7-4708-9BB7-8C07C5335DBD}</b:Guid>
    <b:Title>Effect of Financial Management Practices on the profitability of small scale enterprise: Case study Hawassa City Administration, Ethopia</b:Title>
    <b:Year>2018</b:Year>
    <b:JournalName>Journal of Business and Management </b:JournalName>
    <b:Pages>39-45</b:Pages>
    <b:Author>
      <b:Author>
        <b:NameList>
          <b:Person>
            <b:Last>Yohanes</b:Last>
            <b:First>Desta</b:First>
          </b:Person>
          <b:Person>
            <b:Last>Debela</b:Last>
            <b:Middle>Lemie</b:Middle>
            <b:First>Kenenisa</b:First>
          </b:Person>
          <b:Person>
            <b:Last>Shibru</b:Last>
            <b:First>Woldemichael</b:First>
          </b:Person>
        </b:NameList>
      </b:Author>
    </b:Author>
    <b:RefOrder>27</b:RefOrder>
  </b:Source>
  <b:Source>
    <b:Tag>Mic20</b:Tag>
    <b:SourceType>JournalArticle</b:SourceType>
    <b:Guid>{7975FA8A-DB4F-4897-90F6-1F91FD110867}</b:Guid>
    <b:Title>Capital Budgeting : A systematic review of literature</b:Title>
    <b:JournalName>Production</b:JournalName>
    <b:Year>2020</b:Year>
    <b:Author>
      <b:Author>
        <b:NameList>
          <b:Person>
            <b:Last>Michelon</b:Last>
            <b:Middle>de Souza</b:Middle>
            <b:First>Paula</b:First>
          </b:Person>
        </b:NameList>
      </b:Author>
    </b:Author>
    <b:RefOrder>28</b:RefOrder>
  </b:Source>
  <b:Source>
    <b:Tag>Oki20</b:Tag>
    <b:SourceType>JournalArticle</b:SourceType>
    <b:Guid>{51F9194B-5B49-4E33-9307-2A2CDE375922}</b:Guid>
    <b:Title>ANALYSIS OF CAPITAL EXPENDITURE EFFECT FOR FINANCIAL PERFORMANCE ON MINERAL MINING COMPANY</b:Title>
    <b:Year>2020</b:Year>
    <b:Pages>24-33</b:Pages>
    <b:JournalName>Jurnal Program Studi Pendidikan Ekonomi</b:JournalName>
    <b:Author>
      <b:Author>
        <b:NameList>
          <b:Person>
            <b:Last>Oki</b:Last>
            <b:First>Lidayat</b:First>
          </b:Person>
          <b:Person>
            <b:Last>Fajri</b:Last>
            <b:First>Adrianto</b:First>
          </b:Person>
        </b:NameList>
      </b:Author>
    </b:Author>
    <b:RefOrder>29</b:RefOrder>
  </b:Source>
  <b:Source>
    <b:Tag>Riz21</b:Tag>
    <b:SourceType>JournalArticle</b:SourceType>
    <b:Guid>{6595462F-3DBD-4BDC-B746-86C07966A900}</b:Guid>
    <b:Title>CEO attributes, investment decisions, and firm performance:New insights from upper echelons theory</b:Title>
    <b:JournalName>Wiley</b:JournalName>
    <b:Year>2021</b:Year>
    <b:Pages>398-417</b:Pages>
    <b:Author>
      <b:Author>
        <b:NameList>
          <b:Person>
            <b:Last>Rizwan</b:Last>
            <b:First>Ali</b:First>
          </b:Person>
          <b:Person>
            <b:Last>Ramiz</b:Last>
            <b:First>Ur Rehman</b:First>
          </b:Person>
          <b:Person>
            <b:Last>Sana</b:Last>
            <b:First>Suleman</b:First>
          </b:Person>
          <b:Person>
            <b:Last>Collins</b:Last>
            <b:Middle>Ntim</b:Middle>
            <b:First>Gyakari</b:First>
          </b:Person>
        </b:NameList>
      </b:Author>
    </b:Author>
    <b:RefOrder>30</b:RefOrder>
  </b:Source>
  <b:Source>
    <b:Tag>LeT21</b:Tag>
    <b:SourceType>JournalArticle</b:SourceType>
    <b:Guid>{347401FE-1CA3-448E-9F1A-DF8D9454E205}</b:Guid>
    <b:Title>The impact of R&amp;D expenditure on firm performance in emerging markets: evidence from the Vietamese listed companies</b:Title>
    <b:JournalName>Asian Journal of Techonology and Innovation</b:JournalName>
    <b:Year>2021</b:Year>
    <b:Pages>1-19</b:Pages>
    <b:Author>
      <b:Author>
        <b:NameList>
          <b:Person>
            <b:Last>Le</b:Last>
            <b:First>Thanh</b:First>
          </b:Person>
          <b:Person>
            <b:Last>Quan</b:Last>
            <b:Middle>Quoc Binh</b:Middle>
            <b:First>Minh</b:First>
          </b:Person>
        </b:NameList>
      </b:Author>
    </b:Author>
    <b:RefOrder>31</b:RefOrder>
  </b:Source>
  <b:Source>
    <b:Tag>Moo01</b:Tag>
    <b:SourceType>ConferenceProceedings</b:SourceType>
    <b:Guid>{47373148-9C44-4C7C-9CBD-490CABD9A2EA}</b:Guid>
    <b:Title>Firm Performance and Degree of Sophistication of Capital Budgeting Practice : Some Malaysian Evidence;</b:Title>
    <b:Year>2001</b:Year>
    <b:Pages>279-290</b:Pages>
    <b:Author>
      <b:Author>
        <b:NameList>
          <b:Person>
            <b:Last>Mooi</b:Last>
            <b:First>S.</b:First>
          </b:Person>
          <b:Person>
            <b:Last>Mustapha</b:Last>
            <b:First>M.</b:First>
          </b:Person>
        </b:NameList>
      </b:Author>
    </b:Author>
    <b:ConferenceName>Proceedings of the Asia Pacific Management Conference </b:ConferenceName>
    <b:RefOrder>32</b:RefOrder>
  </b:Source>
  <b:Source>
    <b:Tag>Kan17</b:Tag>
    <b:SourceType>JournalArticle</b:SourceType>
    <b:Guid>{72B41B04-F544-444F-809D-F041458DE3C6}</b:Guid>
    <b:Title>Impact of Capital Structure on Performance of Non-Financial Listed Companies in Pakistan</b:Title>
    <b:JournalName>Pakistan Business Review</b:JournalName>
    <b:Year>2017</b:Year>
    <b:Pages>340-353</b:Pages>
    <b:Author>
      <b:Author>
        <b:NameList>
          <b:Person>
            <b:Last>Kanwal</b:Last>
            <b:First>Memoona</b:First>
          </b:Person>
          <b:Person>
            <b:Last>Shahzad</b:Last>
            <b:Middle>Hussain</b:Middle>
            <b:First>Syed Jawad</b:First>
          </b:Person>
          <b:Person>
            <b:Last>Rehman</b:Last>
            <b:Middle>ur</b:Middle>
            <b:First>Mobeen</b:First>
          </b:Person>
          <b:Person>
            <b:Last>Zakaria</b:Last>
            <b:First>Muhammed</b:First>
          </b:Person>
        </b:NameList>
      </b:Author>
    </b:Author>
    <b:RefOrder>33</b:RefOrder>
  </b:Source>
  <b:Source>
    <b:Tag>Ish171</b:Tag>
    <b:SourceType>JournalArticle</b:SourceType>
    <b:Guid>{BB26C849-3DCD-4FD4-91D0-CFED3F40E3C7}</b:Guid>
    <b:Title>Factors Determining Dividend Payout in the Cement Sector of Pakistan</b:Title>
    <b:JournalName>City University Research Journal</b:JournalName>
    <b:Year>2017</b:Year>
    <b:Pages>171-186</b:Pages>
    <b:Author>
      <b:Author>
        <b:NameList>
          <b:Person>
            <b:Last>Ishaq</b:Last>
            <b:First>Mohammad</b:First>
          </b:Person>
          <b:Person>
            <b:Last>Amin</b:Last>
            <b:First>Kashif</b:First>
          </b:Person>
          <b:Person>
            <b:Last>Khan</b:Last>
            <b:First>Fawad</b:First>
          </b:Person>
        </b:NameList>
      </b:Author>
    </b:Author>
    <b:RefOrder>34</b:RefOrder>
  </b:Source>
  <b:Source>
    <b:Tag>Ros86</b:Tag>
    <b:SourceType>JournalArticle</b:SourceType>
    <b:Guid>{C0F437B1-ECF6-423E-965B-505C7AB9246F}</b:Guid>
    <b:Title>Capital Budgeting Decisions of Twelve Large Manufacturers</b:Title>
    <b:JournalName>Financial Management</b:JournalName>
    <b:Year>1986</b:Year>
    <b:Pages>15-22</b:Pages>
    <b:Author>
      <b:Author>
        <b:NameList>
          <b:Person>
            <b:Last>Ross</b:Last>
            <b:First>M.</b:First>
          </b:Person>
        </b:NameList>
      </b:Author>
    </b:Author>
    <b:RefOrder>35</b:RefOrder>
  </b:Source>
  <b:Source>
    <b:Tag>JUt20</b:Tag>
    <b:SourceType>JournalArticle</b:SourceType>
    <b:Guid>{03E821BE-27C0-439E-B396-3EAEF0FF7E1F}</b:Guid>
    <b:Title>Swarm intelligence based classification rule induction (CRI) framework for qualitative and quantitative approach: An application of bankruptcy prediction and credit risk analysis</b:Title>
    <b:JournalName>Journal of King Saud University - Computer and Information Sciences</b:JournalName>
    <b:Year>2020</b:Year>
    <b:Pages>647-657</b:Pages>
    <b:Author>
      <b:Author>
        <b:NameList>
          <b:Person>
            <b:Last>J.</b:Last>
            <b:First>Uthayakumar</b:First>
          </b:Person>
          <b:Person>
            <b:Last>T.</b:Last>
            <b:First>Vengattaraman</b:First>
          </b:Person>
          <b:Person>
            <b:Last>P.</b:Last>
            <b:First>Dhavachelvan</b:First>
          </b:Person>
        </b:NameList>
      </b:Author>
    </b:Author>
    <b:RefOrder>36</b:RefOrder>
  </b:Source>
  <b:Source>
    <b:Tag>Man20</b:Tag>
    <b:SourceType>JournalArticle</b:SourceType>
    <b:Guid>{006A8844-103F-4286-B7FF-D61A4D00CEB3}</b:Guid>
    <b:Title>Behavioural finance in an era of artificial intelligence: Longitudinal case study of robo-advisors in investment decisions</b:Title>
    <b:JournalName>Journal of Behavioral and Experimental Finance</b:JournalName>
    <b:Year>2020</b:Year>
    <b:Pages>100430</b:Pages>
    <b:Author>
      <b:Author>
        <b:NameList>
          <b:Person>
            <b:Last>Manchuna</b:Last>
            <b:First>Shanmuganathan</b:First>
          </b:Person>
        </b:NameList>
      </b:Author>
    </b:Author>
    <b:RefOrder>37</b:RefOrder>
  </b:Source>
  <b:Source>
    <b:Tag>Aid21</b:Tag>
    <b:SourceType>JournalArticle</b:SourceType>
    <b:Guid>{7660608C-0994-475F-9E1A-17C4712E1517}</b:Guid>
    <b:Title>Internal audit quality: perceptions of Tunisian internal auditors an explanatory research</b:Title>
    <b:JournalName>Journal of Financial Reporting and Accounting</b:JournalName>
    <b:Year>2021</b:Year>
    <b:Author>
      <b:Author>
        <b:NameList>
          <b:Person>
            <b:Last>Aida</b:Last>
            <b:First>Krichene</b:First>
          </b:Person>
          <b:Person>
            <b:Last>Emna</b:Last>
            <b:First>Baklouti</b:First>
          </b:Person>
        </b:NameList>
      </b:Author>
    </b:Author>
    <b:RefOrder>38</b:RefOrder>
  </b:Source>
  <b:Source>
    <b:Tag>Sha16</b:Tag>
    <b:SourceType>JournalArticle</b:SourceType>
    <b:Guid>{5BF301B7-B2D0-4294-B527-BC6225095236}</b:Guid>
    <b:Title>Impact of Working Capital Management on Firm's Profitability in Different Business Cycles: Evidence from Pakistan</b:Title>
    <b:Year>2016</b:Year>
    <b:JournalName>Journal of Finance and Economic Research</b:JournalName>
    <b:Pages>58-70</b:Pages>
    <b:Author>
      <b:Author>
        <b:NameList>
          <b:Person>
            <b:Last>Shah</b:Last>
            <b:First>Nida</b:First>
          </b:Person>
        </b:NameList>
      </b:Author>
    </b:Author>
    <b:RefOrder>39</b:RefOrder>
  </b:Source>
  <b:Source>
    <b:Tag>Sha18</b:Tag>
    <b:SourceType>JournalArticle</b:SourceType>
    <b:Guid>{3E0E803D-457C-441A-84BE-BDB211269EF7}</b:Guid>
    <b:Title>Impact of Woking Capital Management on Profitability and Value of the Firm: A study of manufacturing sector of Pakistan</b:Title>
    <b:JournalName>IBT Journal of Business Studies</b:JournalName>
    <b:Year>2018</b:Year>
    <b:Pages>1-12</b:Pages>
    <b:Author>
      <b:Author>
        <b:NameList>
          <b:Person>
            <b:Last>Shabbir</b:Last>
            <b:First>Munawar</b:First>
          </b:Person>
          <b:Person>
            <b:Last>Iftikhar</b:Last>
            <b:First>Umer</b:First>
          </b:Person>
          <b:Person>
            <b:Last>Raja</b:Last>
            <b:Middle>Ali</b:Middle>
            <b:First>Ahtesham</b:First>
          </b:Person>
        </b:NameList>
      </b:Author>
    </b:Author>
    <b:RefOrder>40</b:RefOrder>
  </b:Source>
  <b:Source>
    <b:Tag>Han19</b:Tag>
    <b:SourceType>JournalArticle</b:SourceType>
    <b:Guid>{3684C763-5FB6-44B6-AA5E-385937B9C4F1}</b:Guid>
    <b:Title>The Dynamic Relationship Between Working Capital Management and Financial Performance: Evidence from Asia</b:Title>
    <b:JournalName>Journal fo Business and Economics</b:JournalName>
    <b:Year>2019</b:Year>
    <b:Pages>75-85</b:Pages>
    <b:Author>
      <b:Author>
        <b:NameList>
          <b:Person>
            <b:Last>Hanif</b:Last>
            <b:First>Hassan</b:First>
          </b:Person>
          <b:Person>
            <b:Last>Abdin</b:Last>
            <b:Middle>Zainul</b:Middle>
            <b:First>Syed</b:First>
          </b:Person>
          <b:Person>
            <b:Last>Mirza</b:Last>
            <b:Middle>Karim</b:Middle>
            <b:First>Bushra</b:First>
          </b:Person>
        </b:NameList>
      </b:Author>
    </b:Author>
    <b:RefOrder>41</b:RefOrder>
  </b:Source>
  <b:Source>
    <b:Tag>Wac17</b:Tag>
    <b:SourceType>Report</b:SourceType>
    <b:Guid>{136E83E6-66C2-41F9-8C5E-69A56455145E}</b:Guid>
    <b:Title>Effect of Capital Budgeting Decisions on Profitability of Listed Firms at Nairobi Securities Exchange</b:Title>
    <b:Year>2017</b:Year>
    <b:Publisher>University of Narobi</b:Publisher>
    <b:Author>
      <b:Author>
        <b:NameList>
          <b:Person>
            <b:Last>Wachira</b:Last>
            <b:Middle>Njoki</b:Middle>
            <b:First>Anne</b:First>
          </b:Person>
        </b:NameList>
      </b:Author>
    </b:Author>
    <b:RefOrder>42</b:RefOrder>
  </b:Source>
  <b:Source>
    <b:Tag>Hun17</b:Tag>
    <b:SourceType>JournalArticle</b:SourceType>
    <b:Guid>{CB32F7E2-A13A-4E58-B09D-BAAA6693033B}</b:Guid>
    <b:Title>Application of Linter's Dividend Model in Pakistan: Sector - wise Analysis</b:Title>
    <b:Year>2017</b:Year>
    <b:JournalName>NUML International Journal of Business and Management </b:JournalName>
    <b:Pages>2-11</b:Pages>
    <b:Author>
      <b:Author>
        <b:NameList>
          <b:Person>
            <b:Last>Hunjra</b:Last>
            <b:Middle>Imran</b:Middle>
            <b:First>Ahmed</b:First>
          </b:Person>
          <b:Person>
            <b:Last>Faisal</b:Last>
            <b:First>Farida</b:First>
          </b:Person>
          <b:Person>
            <b:Last>Khan</b:Last>
            <b:Middle>Ahmed</b:Middle>
            <b:First>Zeeshan</b:First>
          </b:Person>
        </b:NameList>
      </b:Author>
    </b:Author>
    <b:RefOrder>43</b:RefOrder>
  </b:Source>
  <b:Source>
    <b:Tag>Tha14</b:Tag>
    <b:SourceType>JournalArticle</b:SourceType>
    <b:Guid>{ED4B23FC-28E3-496A-94C3-8A99162605E6}</b:Guid>
    <b:Title>Impact of Dividend Policy on Corporate Profitability: Evident from Colombo Stock Exchange </b:Title>
    <b:JournalName>Advances in Economic and Business Management</b:JournalName>
    <b:Year>2014</b:Year>
    <b:Pages>28-33</b:Pages>
    <b:Author>
      <b:Author>
        <b:NameList>
          <b:Person>
            <b:Last>Thafani</b:Last>
            <b:Middle>Fatima</b:Middle>
            <b:First>AR.</b:First>
          </b:Person>
          <b:Person>
            <b:Last>Abdullah</b:Last>
            <b:Middle>Mohammed</b:Middle>
            <b:First>MA</b:First>
          </b:Person>
        </b:NameList>
      </b:Author>
    </b:Author>
    <b:RefOrder>44</b:RefOrder>
  </b:Source>
  <b:Source>
    <b:Tag>Vuo17</b:Tag>
    <b:SourceType>JournalArticle</b:SourceType>
    <b:Guid>{52F6FD11-4DBD-4385-A8D2-692ECBF99AE3}</b:Guid>
    <b:Title>Impact of Capital Structure on Firm's Financial Performance : Evidence from UK</b:Title>
    <b:JournalName>Journal of Finance and Economic Research</b:JournalName>
    <b:Year>2017</b:Year>
    <b:Pages>18-31</b:Pages>
    <b:Author>
      <b:Author>
        <b:NameList>
          <b:Person>
            <b:Last>Vuong</b:Last>
            <b:Middle>Bao</b:Middle>
            <b:First>Ngoc</b:First>
          </b:Person>
          <b:Person>
            <b:Last>Quynh Vu</b:Last>
            <b:Middle>Thi</b:Middle>
            <b:First>Trang</b:First>
          </b:Person>
          <b:Person>
            <b:Last>Mitra</b:Last>
            <b:First>Payel</b:First>
          </b:Person>
        </b:NameList>
      </b:Author>
    </b:Author>
    <b:RefOrder>45</b:RefOrder>
  </b:Source>
  <b:Source>
    <b:Tag>Hai09</b:Tag>
    <b:SourceType>Book</b:SourceType>
    <b:Guid>{757EEEA5-C0C7-4725-82FA-0A52BD6E4959}</b:Guid>
    <b:Title>Mutlivariate Data Anaysis</b:Title>
    <b:Year>2009</b:Year>
    <b:City>US</b:City>
    <b:Publisher>Prentice Hall</b:Publisher>
    <b:Author>
      <b:Author>
        <b:NameList>
          <b:Person>
            <b:Last>Hair</b:Last>
            <b:Middle>F.</b:Middle>
            <b:First>Joseph</b:First>
          </b:Person>
        </b:NameList>
      </b:Author>
    </b:Author>
    <b:RefOrder>46</b:RefOrder>
  </b:Source>
  <b:Source>
    <b:Tag>Har12</b:Tag>
    <b:SourceType>JournalArticle</b:SourceType>
    <b:Guid>{7C2FDBAE-E20F-4B67-938B-8FE12A515EF1}</b:Guid>
    <b:Title>Working Capital Management and Profitability: Evidence from India an empirical study </b:Title>
    <b:Year>2012</b:Year>
    <b:JournalName>Journal of Management and Research</b:JournalName>
    <b:Pages>1-16</b:Pages>
    <b:Author>
      <b:Author>
        <b:NameList>
          <b:Person>
            <b:Last>Haresh</b:Last>
            <b:First>B.</b:First>
          </b:Person>
        </b:NameList>
      </b:Author>
    </b:Author>
    <b:RefOrder>47</b:RefOrder>
  </b:Source>
  <b:Source>
    <b:Tag>Nya12</b:Tag>
    <b:SourceType>JournalArticle</b:SourceType>
    <b:Guid>{5841C77A-2C0F-4A3E-9C16-08D527513FCA}</b:Guid>
    <b:Title>Effects of working capital management practices on financial performance: a study of small scale enterprises in Kisii South District , Kenya</b:Title>
    <b:JournalName>Africa Journal of Management</b:JournalName>
    <b:Year>2012</b:Year>
    <b:Pages>5807-5817</b:Pages>
    <b:Author>
      <b:Author>
        <b:NameList>
          <b:Person>
            <b:Last>Nyabwanga</b:Last>
            <b:First>R.N</b:First>
          </b:Person>
          <b:Person>
            <b:Last>Ojera</b:Last>
            <b:First>P.</b:First>
          </b:Person>
          <b:Person>
            <b:Last>Lumumba</b:Last>
            <b:First>P.</b:First>
          </b:Person>
          <b:Person>
            <b:Last>Odondo</b:Last>
            <b:First>A.J</b:First>
          </b:Person>
          <b:Person>
            <b:Last>Otieno </b:Last>
            <b:First>S</b:First>
          </b:Person>
        </b:NameList>
      </b:Author>
    </b:Author>
    <b:RefOrder>48</b:RefOrder>
  </b:Source>
  <b:Source>
    <b:Tag>Qua11</b:Tag>
    <b:SourceType>JournalArticle</b:SourceType>
    <b:Guid>{6877F233-BDDF-4621-91E0-8165650D69D3}</b:Guid>
    <b:Title>Effects of working capital management and liquidity: Evidence from the cement industry of Bangladesh</b:Title>
    <b:JournalName>Journal of Business and Technology, Dhaka</b:JournalName>
    <b:Year>2011</b:Year>
    <b:Pages>37-47</b:Pages>
    <b:Author>
      <b:Author>
        <b:NameList>
          <b:Person>
            <b:Last>Quayyum</b:Last>
            <b:First>S.T</b:First>
          </b:Person>
        </b:NameList>
      </b:Author>
    </b:Author>
    <b:RefOrder>49</b:RefOrder>
  </b:Source>
  <b:Source>
    <b:Tag>Aza16</b:Tag>
    <b:SourceType>Report</b:SourceType>
    <b:Guid>{B13A5CF1-012B-4DEC-B032-AEA5B39F8BE8}</b:Guid>
    <b:Title>Effect of cash conversion cycle, firm size and leverage on productivity: a sectoral analysis in Pakistan</b:Title>
    <b:Year>2016</b:Year>
    <b:Author>
      <b:Author>
        <b:NameList>
          <b:Person>
            <b:Last>Azam</b:Last>
            <b:First>K.</b:First>
          </b:Person>
        </b:NameList>
      </b:Author>
    </b:Author>
    <b:Publisher>Bahria University, Islamabad</b:Publisher>
    <b:RefOrder>50</b:RefOrder>
  </b:Source>
  <b:Source>
    <b:Tag>Pre18</b:Tag>
    <b:SourceType>JournalArticle</b:SourceType>
    <b:Guid>{48E2C6EE-AA4A-4E96-B9B8-D44E2120D3F9}</b:Guid>
    <b:Title>Does working capital management affect profitability of Ghananian Manufacturing firms?</b:Title>
    <b:Year>2018</b:Year>
    <b:JournalName>Journal of Advanced Studies in Finance</b:JournalName>
    <b:Pages>22-23</b:Pages>
    <b:Author>
      <b:Author>
        <b:NameList>
          <b:Person>
            <b:Last>Prempeh</b:Last>
            <b:First>K.</b:First>
          </b:Person>
          <b:Person>
            <b:Last>Peprah</b:Last>
            <b:Middle>E.</b:Middle>
            <b:First>Amankona</b:First>
          </b:Person>
        </b:NameList>
      </b:Author>
    </b:Author>
    <b:RefOrder>51</b:RefOrder>
  </b:Source>
  <b:Source>
    <b:Tag>Ebe13</b:Tag>
    <b:SourceType>JournalArticle</b:SourceType>
    <b:Guid>{3EEEFCE6-20E5-4E79-88E6-2F8FC21E0478}</b:Guid>
    <b:Title>The Relationship Between Working Capital Management and Profitability of Listed Manufacturing Firms</b:Title>
    <b:JournalName>International Journal of Business and Social Research </b:JournalName>
    <b:Year>2013</b:Year>
    <b:Pages>25-34</b:Pages>
    <b:Author>
      <b:Author>
        <b:NameList>
          <b:Person>
            <b:Last>Ebenezer</b:Last>
            <b:Middle>Badu</b:Middle>
            <b:First>Agyemang</b:First>
          </b:Person>
          <b:Person>
            <b:Last>Asiedu</b:Last>
            <b:Middle>Kwame</b:Middle>
            <b:First>Michael</b:First>
          </b:Person>
        </b:NameList>
      </b:Author>
    </b:Author>
    <b:RefOrder>52</b:RefOrder>
  </b:Source>
  <b:Source>
    <b:Tag>Ahm13</b:Tag>
    <b:SourceType>ConferenceProceedings</b:SourceType>
    <b:Guid>{598D2632-74E9-4FA1-9D5A-9C4AC826E10F}</b:Guid>
    <b:Title>Impact of working capital management on performance of listed non-financial companies of Pakistan: application of OLS and LOGIT models</b:Title>
    <b:Year>2013</b:Year>
    <b:Pages>1-22</b:Pages>
    <b:Author>
      <b:Author>
        <b:NameList>
          <b:Person>
            <b:Last>Ahmed</b:Last>
            <b:First>I</b:First>
          </b:Person>
        </b:NameList>
      </b:Author>
    </b:Author>
    <b:ConferenceName>Proceedings of 2nd International Conference on Business Management </b:ConferenceName>
    <b:City>Lahore</b:City>
    <b:RefOrder>53</b:RefOrder>
  </b:Source>
  <b:Source>
    <b:Tag>Moh10</b:Tag>
    <b:SourceType>JournalArticle</b:SourceType>
    <b:Guid>{F9BB8D90-2C8D-482F-A7F2-AC361CB8DBD0}</b:Guid>
    <b:Title>Working Capital Management: the effect of market valuation and profitability in Malaysia</b:Title>
    <b:Pages>139-140</b:Pages>
    <b:Year>2010</b:Year>
    <b:Author>
      <b:Author>
        <b:NameList>
          <b:Person>
            <b:Last>Mohamad</b:Last>
            <b:First>N.E.A</b:First>
          </b:Person>
          <b:Person>
            <b:Last>Saad</b:Last>
            <b:First>N.B</b:First>
          </b:Person>
        </b:NameList>
      </b:Author>
    </b:Author>
    <b:JournalName>International Journal of Business and Management</b:JournalName>
    <b:RefOrder>54</b:RefOrder>
  </b:Source>
  <b:Source>
    <b:Tag>Lak10</b:Tag>
    <b:SourceType>ArticleInAPeriodical</b:SourceType>
    <b:Guid>{3367AB60-E25E-421F-97E2-C7E333A21472}</b:Guid>
    <b:Title>Effect of Financial Management Practices and Characteristics on Profitability: A study on business enterprises in Jimma Town, Ethopia</b:Title>
    <b:JournalName>Research in Commerce and Management</b:JournalName>
    <b:Year>2010</b:Year>
    <b:Pages>64-75</b:Pages>
    <b:Author>
      <b:Author>
        <b:NameList>
          <b:Person>
            <b:Last>Lakew</b:Last>
            <b:Middle>Mersha</b:Middle>
            <b:First>Deresse</b:First>
          </b:Person>
          <b:Person>
            <b:Last>Rao</b:Last>
            <b:First>Prabhakar</b:First>
          </b:Person>
        </b:NameList>
      </b:Author>
    </b:Author>
    <b:PeriodicalTitle>National Monthly Referred Journal of Research in Commerce and Management</b:PeriodicalTitle>
    <b:RefOrder>55</b:RefOrder>
  </b:Source>
  <b:Source>
    <b:Tag>Kwa10</b:Tag>
    <b:SourceType>Report</b:SourceType>
    <b:Guid>{F8C2465D-5FA4-45E8-BB7F-0EB765CA2AF8}</b:Guid>
    <b:Title>Financial Management on Small Firms in Ghana</b:Title>
    <b:Year>2010</b:Year>
    <b:Author>
      <b:Author>
        <b:NameList>
          <b:Person>
            <b:Last>Kwame</b:Last>
            <b:First>B.</b:First>
          </b:Person>
        </b:NameList>
      </b:Author>
    </b:Author>
    <b:RefOrder>56</b:RefOrder>
  </b:Source>
  <b:Source>
    <b:Tag>Afz08</b:Tag>
    <b:SourceType>JournalArticle</b:SourceType>
    <b:Guid>{F760264A-4D61-44A4-9F71-0A0EE73FCC2A}</b:Guid>
    <b:Title>Working Capital Approaches and Firm's Returns in Pakistan</b:Title>
    <b:JournalName>Pakistan Journal of Commerce and Social Sciences</b:JournalName>
    <b:Year>2008</b:Year>
    <b:Pages>25-36</b:Pages>
    <b:Author>
      <b:Author>
        <b:NameList>
          <b:Person>
            <b:Last>Afza</b:Last>
            <b:First>Talat</b:First>
          </b:Person>
          <b:Person>
            <b:Last>Sajid</b:Last>
            <b:First>Mian</b:First>
          </b:Person>
        </b:NameList>
      </b:Author>
    </b:Author>
    <b:RefOrder>57</b:RefOrder>
  </b:Source>
  <b:Source>
    <b:Tag>Ahm17</b:Tag>
    <b:SourceType>JournalArticle</b:SourceType>
    <b:Guid>{8E008E65-147D-4575-9E42-EC7C886B3358}</b:Guid>
    <b:Title>Determining the Impact of Working Capital Management on Profitability: An Empirical Study of Automobile Sector in Pakistan</b:Title>
    <b:JournalName>Journal of Business Administration and Management Sciences</b:JournalName>
    <b:Year>2017</b:Year>
    <b:Pages>214-227</b:Pages>
    <b:Author>
      <b:Author>
        <b:NameList>
          <b:Person>
            <b:Last>Ahmed</b:Last>
            <b:First>Ishfaque</b:First>
          </b:Person>
          <b:Person>
            <b:Last>Khan</b:Last>
            <b:Middle>Ali</b:Middle>
            <b:First>Mubashir</b:First>
          </b:Person>
        </b:NameList>
      </b:Author>
    </b:Author>
    <b:RefOrder>58</b:RefOrder>
  </b:Source>
  <b:Source>
    <b:Tag>Jav14</b:Tag>
    <b:SourceType>JournalArticle</b:SourceType>
    <b:Guid>{8B8FDFFE-499E-48BE-9B5D-32607508CFFF}</b:Guid>
    <b:Title>Impact of Working Capital Policy on Firm's Profitability: A Case of Pakistan Cement Industry</b:Title>
    <b:JournalName>Research Journal of Finance and Accounting</b:JournalName>
    <b:Year>2014</b:Year>
    <b:Pages>182-191</b:Pages>
    <b:Author>
      <b:Author>
        <b:NameList>
          <b:Person>
            <b:Last>Javid</b:Last>
            <b:First>Snober</b:First>
          </b:Person>
          <b:Person>
            <b:Last>Marie Zita</b:Last>
            <b:Middle>Prudence</b:Middle>
            <b:First>Velontrasina</b:First>
          </b:Person>
        </b:NameList>
      </b:Author>
    </b:Author>
    <b:RefOrder>59</b:RefOrder>
  </b:Source>
  <b:Source>
    <b:Tag>Saf</b:Tag>
    <b:SourceType>JournalArticle</b:SourceType>
    <b:Guid>{09A87EFE-E26B-4213-93BA-DE14FB92AEE6}</b:Guid>
    <b:Title>Does Capital Structure affects Firm's Profitability: An Empirical Analysis of Listed Pharmaceutical Firms</b:Title>
    <b:Author>
      <b:Author>
        <b:NameList>
          <b:Person>
            <b:Last>Safdar</b:Last>
            <b:Middle>Muhammed</b:Middle>
            <b:First>Zulqarnain</b:First>
          </b:Person>
          <b:Person>
            <b:Last>Naz</b:Last>
            <b:First>Humera</b:First>
          </b:Person>
          <b:Person>
            <b:Last>Mustafa</b:Last>
            <b:First>Kiran</b:First>
          </b:Person>
          <b:Person>
            <b:Last>Khan</b:Last>
            <b:Middle>Mudassar</b:Middle>
            <b:First>Muhammed</b:First>
          </b:Person>
          <b:Person>
            <b:Last>Kamran</b:Last>
            <b:First>Muhammed</b:First>
          </b:Person>
        </b:NameList>
      </b:Author>
    </b:Author>
    <b:JournalName>Abasyn Journal of Social Sciences</b:JournalName>
    <b:Year>2016</b:Year>
    <b:Pages>Special Issue AIC 231-239</b:Pages>
    <b:RefOrder>60</b:RefOrder>
  </b:Source>
  <b:Source>
    <b:Tag>Asa19</b:Tag>
    <b:SourceType>JournalArticle</b:SourceType>
    <b:Guid>{95730AE4-653A-44D5-9976-960E43BA9B87}</b:Guid>
    <b:Title>Relationship between Capital Structure and Financial Performance of Textile Sector Companies</b:Title>
    <b:JournalName>Kashmir Economic Review</b:JournalName>
    <b:Year>2019</b:Year>
    <b:Pages>39-52</b:Pages>
    <b:Author>
      <b:Author>
        <b:NameList>
          <b:Person>
            <b:Last>Asad </b:Last>
            <b:First>Muzaffar</b:First>
          </b:Person>
          <b:Person>
            <b:Last>Iftikhar</b:Last>
            <b:First>Khizar</b:First>
          </b:Person>
          <b:Person>
            <b:Last>Jafary</b:Last>
            <b:Middle>Yasir</b:Middle>
            <b:First>Ammar</b:First>
          </b:Person>
        </b:NameList>
      </b:Author>
    </b:Author>
    <b:RefOrder>61</b:RefOrder>
  </b:Source>
  <b:Source>
    <b:Tag>Ahm14</b:Tag>
    <b:SourceType>JournalArticle</b:SourceType>
    <b:Guid>{7B1072DC-DF28-41DE-9EEC-72623A17B93F}</b:Guid>
    <b:Title>Impact of Capital Structure on Profitability : An Empirical Analysis of Cement Sector of Pakistan</b:Title>
    <b:JournalName>Research Journal of Finance and Accounting</b:JournalName>
    <b:Year>2014</b:Year>
    <b:Pages>49-54</b:Pages>
    <b:Author>
      <b:Author>
        <b:NameList>
          <b:Person>
            <b:Last>Ahmed</b:Last>
            <b:First>Touseef</b:First>
          </b:Person>
        </b:NameList>
      </b:Author>
    </b:Author>
    <b:RefOrder>62</b:RefOrder>
  </b:Source>
  <b:Source>
    <b:Tag>Has15</b:Tag>
    <b:SourceType>JournalArticle</b:SourceType>
    <b:Guid>{907BB015-EC3E-4B16-8E8E-540F5750C769}</b:Guid>
    <b:Title>Dividend Payout Ratio and Firm's Profitability: Evidence from Pakistan</b:Title>
    <b:JournalName>Theoretical Economics Letters </b:JournalName>
    <b:Year>2015</b:Year>
    <b:Pages>441-445</b:Pages>
    <b:Author>
      <b:Author>
        <b:NameList>
          <b:Person>
            <b:Last>Hasan</b:Last>
            <b:First>Mudassar</b:First>
          </b:Person>
          <b:Person>
            <b:Last>Ahmad</b:Last>
            <b:Middle>Ashfaq</b:Middle>
            <b:First>Muhammad</b:First>
          </b:Person>
          <b:Person>
            <b:Last>Rafiq</b:Last>
            <b:Middle>Yasir</b:Middle>
            <b:First>Muhammad</b:First>
          </b:Person>
          <b:Person>
            <b:Last>Rehman</b:Last>
            <b:Middle>Ur</b:Middle>
            <b:First>Rameez</b:First>
          </b:Person>
        </b:NameList>
      </b:Author>
    </b:Author>
    <b:RefOrder>63</b:RefOrder>
  </b:Source>
  <b:Source>
    <b:Tag>Ahm15</b:Tag>
    <b:SourceType>JournalArticle</b:SourceType>
    <b:Guid>{ADA57AE9-544E-4154-91DD-24E600FC3FD7}</b:Guid>
    <b:Title>Liquidity, Profitability and Dividend Payout Policy</b:Title>
    <b:JournalName>World Review of Business Research</b:JournalName>
    <b:Year>2015</b:Year>
    <b:Pages>73-85</b:Pages>
    <b:Author>
      <b:Author>
        <b:NameList>
          <b:Person>
            <b:Last>Ahmed</b:Last>
            <b:Middle>Elsiddig</b:Middle>
            <b:First>Ibrahim</b:First>
          </b:Person>
        </b:NameList>
      </b:Author>
    </b:Author>
    <b:RefOrder>64</b:RefOrder>
  </b:Source>
  <b:Source>
    <b:Tag>Ngu042</b:Tag>
    <b:SourceType>JournalArticle</b:SourceType>
    <b:Guid>{2D75A325-99D5-462E-B62B-B9F0600156CC}</b:Guid>
    <b:Title>Financial Management and Profitability of SME</b:Title>
    <b:Year>2004</b:Year>
    <b:Author>
      <b:Author>
        <b:NameList>
          <b:Person>
            <b:Last>Nguyen</b:Last>
            <b:First>Kieu</b:First>
          </b:Person>
        </b:NameList>
      </b:Author>
    </b:Author>
    <b:RefOrder>65</b:RefOrder>
  </b:Source>
  <b:Source>
    <b:Tag>Fat12</b:Tag>
    <b:SourceType>JournalArticle</b:SourceType>
    <b:Guid>{CE0EAC12-A419-4BA4-AE5A-CBA1568A3B1C}</b:Guid>
    <b:Title>An Investigation into Financial Management Practices of New Micro Enterprises in South Africa</b:Title>
    <b:JournalName>Journal of Social Science</b:JournalName>
    <b:Year>2012</b:Year>
    <b:Pages>179-188</b:Pages>
    <b:Author>
      <b:Author>
        <b:NameList>
          <b:Person>
            <b:Last>Fatoki</b:Last>
            <b:First>Olawale</b:First>
          </b:Person>
        </b:NameList>
      </b:Author>
    </b:Author>
    <b:RefOrder>66</b:RefOrder>
  </b:Source>
  <b:Source>
    <b:Tag>Mwa14</b:Tag>
    <b:SourceType>JournalArticle</b:SourceType>
    <b:Guid>{4C8CDA8B-446F-4540-BB6C-5CCCEA94E0F2}</b:Guid>
    <b:Title>Effect of Financial Management Practices on Profitability of Matatu Transport Industry in Kenya</b:Title>
    <b:JournalName>IOSR Journal of Economics and Finance </b:JournalName>
    <b:Year>2014</b:Year>
    <b:Pages>90-100</b:Pages>
    <b:Author>
      <b:Author>
        <b:NameList>
          <b:Person>
            <b:Last>Mwangi</b:Last>
            <b:Middle>Kimani</b:Middle>
            <b:First>Joseph</b:First>
          </b:Person>
          <b:Person>
            <b:Last>Otuya</b:Last>
            <b:First>Robert</b:First>
          </b:Person>
          <b:Person>
            <b:Last>Kamau</b:Last>
            <b:Middle>K.</b:Middle>
            <b:First>David</b:First>
          </b:Person>
        </b:NameList>
      </b:Author>
    </b:Author>
    <b:RefOrder>67</b:RefOrder>
  </b:Source>
  <b:Source>
    <b:Tag>Kar15</b:Tag>
    <b:SourceType>JournalArticle</b:SourceType>
    <b:Guid>{C1FD3BBB-DFA2-4720-B69D-9D63C6B7549F}</b:Guid>
    <b:Title>Financial Managent Challenges in Small and Medium Scale Enterprises</b:Title>
    <b:JournalName>Emerging Markets Journals</b:JournalName>
    <b:Year>2015</b:Year>
    <b:Pages>26-40</b:Pages>
    <b:Author>
      <b:Author>
        <b:NameList>
          <b:Person>
            <b:Last>Karadag</b:Last>
            <b:First>Hande</b:First>
          </b:Person>
        </b:NameList>
      </b:Author>
    </b:Author>
    <b:RefOrder>68</b:RefOrder>
  </b:Source>
  <b:Source>
    <b:Tag>Gut48</b:Tag>
    <b:SourceType>Book</b:SourceType>
    <b:Guid>{DA21F50E-4833-4817-8A0F-3582C9C88C98}</b:Guid>
    <b:Title>Corporate and Financial Policy , 1st Edition</b:Title>
    <b:Year>1948</b:Year>
    <b:Publisher>Prentice Hall</b:Publisher>
    <b:City>New York</b:City>
    <b:Author>
      <b:Author>
        <b:NameList>
          <b:Person>
            <b:Last>Guthmann</b:Last>
          </b:Person>
          <b:Person>
            <b:Last>Harry</b:Last>
            <b:First>G.</b:First>
          </b:Person>
          <b:Person>
            <b:Last>Douglall</b:Last>
            <b:Middle>E.</b:Middle>
            <b:First>Herbert</b:First>
          </b:Person>
        </b:NameList>
      </b:Author>
    </b:Author>
    <b:RefOrder>69</b:RefOrder>
  </b:Source>
  <b:Source>
    <b:Tag>Gla51</b:Tag>
    <b:SourceType>Misc</b:SourceType>
    <b:Guid>{BA6EC3B5-DD1D-4B70-A9B2-DFD0CC0DB26B}</b:Guid>
    <b:Title>The Accountants Part in Creative Management</b:Title>
    <b:Year>1951</b:Year>
    <b:Publisher>National Association of Cost Accountants NACA Bulletin </b:Publisher>
    <b:Author>
      <b:Author>
        <b:NameList>
          <b:Person>
            <b:Last>Gladson</b:Last>
            <b:First>JW</b:First>
          </b:Person>
        </b:NameList>
      </b:Author>
    </b:Author>
    <b:RefOrder>70</b:RefOrder>
  </b:Source>
  <b:Source>
    <b:Tag>Moy95</b:Tag>
    <b:SourceType>Book</b:SourceType>
    <b:Guid>{7AFFA00D-58A9-4BF2-B69B-F7E37FDF63EA}</b:Guid>
    <b:Title>Contemporary Financial Management</b:Title>
    <b:Year>1995</b:Year>
    <b:Publisher>Web Publishing Company Cincinatti</b:Publisher>
    <b:City>Ohio</b:City>
    <b:Author>
      <b:Author>
        <b:NameList>
          <b:Person>
            <b:Last>Moyer</b:Last>
            <b:First>R.C</b:First>
          </b:Person>
          <b:Person>
            <b:Last>Mcguigan</b:Last>
            <b:First>J.R</b:First>
          </b:Person>
          <b:Person>
            <b:Last>Kretlow</b:Last>
            <b:First>W.J</b:First>
          </b:Person>
        </b:NameList>
      </b:Author>
    </b:Author>
    <b:RefOrder>71</b:RefOrder>
  </b:Source>
  <b:Source>
    <b:Tag>Bel79</b:Tag>
    <b:SourceType>JournalArticle</b:SourceType>
    <b:Guid>{10EBA62F-214B-47D6-8376-6AF6510D3584}</b:Guid>
    <b:Title>Working Capital policy and Liquidity in Small Business</b:Title>
    <b:JournalName>Journal of Small Business Management</b:JournalName>
    <b:Year>1979</b:Year>
    <b:Pages>43-51</b:Pages>
    <b:Author>
      <b:Author>
        <b:NameList>
          <b:Person>
            <b:Last>Belt</b:Last>
            <b:First>B.</b:First>
          </b:Person>
        </b:NameList>
      </b:Author>
    </b:Author>
    <b:RefOrder>72</b:RefOrder>
  </b:Source>
  <b:Source>
    <b:Tag>Smi80</b:Tag>
    <b:SourceType>ArticleInAPeriodical</b:SourceType>
    <b:Guid>{D8D5627A-8DC5-4675-8643-31106CE0DC6C}</b:Guid>
    <b:Title>Profitability versus Liquidity Trade offs in Working Capital Management </b:Title>
    <b:Year>1980</b:Year>
    <b:PeriodicalTitle>Readings on the management of working capital </b:PeriodicalTitle>
    <b:Author>
      <b:Author>
        <b:NameList>
          <b:Person>
            <b:Last>Smith</b:Last>
            <b:First>K.</b:First>
          </b:Person>
        </b:NameList>
      </b:Author>
    </b:Author>
    <b:RefOrder>73</b:RefOrder>
  </b:Source>
  <b:Source>
    <b:Tag>Sri86</b:Tag>
    <b:SourceType>ArticleInAPeriodical</b:SourceType>
    <b:Guid>{22DA5A92-397B-4D1A-AEBE-A85F856CC727}</b:Guid>
    <b:Title>Management and Monitoring of Industrial Sickness</b:Title>
    <b:Year>1986</b:Year>
    <b:Author>
      <b:Author>
        <b:NameList>
          <b:Person>
            <b:Last>Srivastava</b:Last>
            <b:First>S.S</b:First>
          </b:Person>
          <b:Person>
            <b:Last>Yadav</b:Last>
            <b:First>R.A</b:First>
          </b:Person>
        </b:NameList>
      </b:Author>
    </b:Author>
    <b:RefOrder>74</b:RefOrder>
  </b:Source>
  <b:Source>
    <b:Tag>Shi98</b:Tag>
    <b:SourceType>JournalArticle</b:SourceType>
    <b:Guid>{BF2D2CAA-40E0-4099-B616-EFA7B4F40FBC}</b:Guid>
    <b:Title>Efficiency of Working Capital and Corporate Profitability</b:Title>
    <b:Year>1998</b:Year>
    <b:Pages>37-45</b:Pages>
    <b:JournalName>Financial Practice and Education</b:JournalName>
    <b:Author>
      <b:Author>
        <b:NameList>
          <b:Person>
            <b:Last>Shin</b:Last>
            <b:First>H.H</b:First>
          </b:Person>
          <b:Person>
            <b:Last>Soenen</b:Last>
            <b:First>L.</b:First>
          </b:Person>
        </b:NameList>
      </b:Author>
    </b:Author>
    <b:RefOrder>75</b:RefOrder>
  </b:Source>
  <b:Source>
    <b:Tag>Del03</b:Tag>
    <b:SourceType>JournalArticle</b:SourceType>
    <b:Guid>{DDEAFEE2-A1D8-4A0D-B424-9783FA4BA34C}</b:Guid>
    <b:Title>Does Working Capital Management Affects Profitability of Belgian Firms? </b:Title>
    <b:JournalName>Journal of Business, Finance and Accounting </b:JournalName>
    <b:Year>2003</b:Year>
    <b:Pages>573-587</b:Pages>
    <b:Author>
      <b:Author>
        <b:NameList>
          <b:Person>
            <b:Last>Deloof</b:Last>
            <b:First>M.</b:First>
          </b:Person>
        </b:NameList>
      </b:Author>
    </b:Author>
    <b:RefOrder>76</b:RefOrder>
  </b:Source>
  <b:Source>
    <b:Tag>Elj04</b:Tag>
    <b:SourceType>JournalArticle</b:SourceType>
    <b:Guid>{DE4134A1-A5F7-4ADB-BFE3-D976A04A3BF0}</b:Guid>
    <b:Title>Liquidity and Profitability - Tradeoff: An Empirical Study in an Emerging Market</b:Title>
    <b:JournalName>International Journal of Commerce and Management , Vol 4</b:JournalName>
    <b:Year>2004</b:Year>
    <b:Pages>48-61</b:Pages>
    <b:Author>
      <b:Author>
        <b:NameList>
          <b:Person>
            <b:Last>Eljelly</b:Last>
            <b:First>A.</b:First>
          </b:Person>
        </b:NameList>
      </b:Author>
    </b:Author>
    <b:RefOrder>77</b:RefOrder>
  </b:Source>
  <b:Source>
    <b:Tag>Bre06</b:Tag>
    <b:SourceType>Book</b:SourceType>
    <b:Guid>{4163C468-4E33-4B89-AF5C-0E13A9E94C9A}</b:Guid>
    <b:Title>Working Capital Management, Corporate Finance </b:Title>
    <b:Year>2006</b:Year>
    <b:Author>
      <b:Author>
        <b:NameList>
          <b:Person>
            <b:Last>Brealey</b:Last>
            <b:First>R.</b:First>
          </b:Person>
          <b:Person>
            <b:Last>Myers</b:Last>
            <b:First>S.</b:First>
          </b:Person>
          <b:Person>
            <b:Last>Allen</b:Last>
            <b:First>F.</b:First>
          </b:Person>
        </b:NameList>
      </b:Author>
    </b:Author>
    <b:City>NewYork</b:City>
    <b:Publisher>Mc Graw Hill</b:Publisher>
    <b:RefOrder>78</b:RefOrder>
  </b:Source>
  <b:Source>
    <b:Tag>Pad06</b:Tag>
    <b:SourceType>JournalArticle</b:SourceType>
    <b:Guid>{9EE51EF8-8C41-4A8D-A218-7B114143426D}</b:Guid>
    <b:Title>Trends in Working Capital Management and its Impact on Firms' Performance: An Analysis of Mauritian Small Manufacturing Firms</b:Title>
    <b:Year>2006</b:Year>
    <b:JournalName>International Review of Business Research Papers</b:JournalName>
    <b:Pages>45-58</b:Pages>
    <b:Author>
      <b:Author>
        <b:NameList>
          <b:Person>
            <b:Last>Padachi</b:Last>
            <b:First>Kesseven</b:First>
          </b:Person>
        </b:NameList>
      </b:Author>
    </b:Author>
    <b:RefOrder>79</b:RefOrder>
  </b:Source>
  <b:Source>
    <b:Tag>Mis13</b:Tag>
    <b:SourceType>JournalArticle</b:SourceType>
    <b:Guid>{B6D1AC37-E552-4D38-BB95-8EC4F275211B}</b:Guid>
    <b:Title>Impact of Working Capital Management on Profitability</b:Title>
    <b:JournalName>Journal of Next Generation Information Technology </b:JournalName>
    <b:Year>2013</b:Year>
    <b:Pages>8-15</b:Pages>
    <b:Author>
      <b:Author>
        <b:NameList>
          <b:Person>
            <b:Last>Misbah</b:Last>
            <b:First>S.</b:First>
          </b:Person>
          <b:Person>
            <b:Last>Khan</b:Last>
            <b:Middle>Ur-Rehman</b:Middle>
            <b:First>Saif</b:First>
          </b:Person>
          <b:Person>
            <b:Last>Abrar</b:Last>
            <b:Middle>ul</b:Middle>
            <b:First>Sayyed </b:First>
          </b:Person>
          <b:Person>
            <b:Last>Jamil</b:Last>
            <b:First>Muhammad</b:First>
          </b:Person>
          <b:Person>
            <b:Last>Zainab Bintkhilfah</b:Last>
            <b:First>Anjum</b:First>
          </b:Person>
        </b:NameList>
      </b:Author>
    </b:Author>
    <b:RefOrder>80</b:RefOrder>
  </b:Source>
  <b:Source>
    <b:Tag>Pin82</b:Tag>
    <b:SourceType>JournalArticle</b:SourceType>
    <b:Guid>{23B95247-8BA1-40F2-8DE5-26F757170BCB}</b:Guid>
    <b:Title>Myopia, Capital Budgeting and Decision Making</b:Title>
    <b:JournalName>Financial Management , Autumn</b:JournalName>
    <b:Year>1982</b:Year>
    <b:Pages>6-19</b:Pages>
    <b:Author>
      <b:Author>
        <b:NameList>
          <b:Person>
            <b:Last>Pinches</b:Last>
            <b:Middle>E.</b:Middle>
            <b:First>George</b:First>
          </b:Person>
        </b:NameList>
      </b:Author>
    </b:Author>
    <b:RefOrder>81</b:RefOrder>
  </b:Source>
  <b:Source>
    <b:Tag>Far86</b:Tag>
    <b:SourceType>JournalArticle</b:SourceType>
    <b:Guid>{DDA8C124-8C9F-46F9-B04F-95D8D5203775}</b:Guid>
    <b:Title>Capital Budgeting Decisions of Non-Financial Firms</b:Title>
    <b:JournalName>The Engineering Economist</b:JournalName>
    <b:Year>1986</b:Year>
    <b:Pages>293-302</b:Pages>
    <b:Author>
      <b:Author>
        <b:NameList>
          <b:Person>
            <b:Last>Farragher</b:Last>
            <b:Middle>J.</b:Middle>
            <b:First>Edward</b:First>
          </b:Person>
        </b:NameList>
      </b:Author>
    </b:Author>
    <b:RefOrder>82</b:RefOrder>
  </b:Source>
  <b:Source>
    <b:Tag>Jim17</b:Tag>
    <b:SourceType>JournalArticle</b:SourceType>
    <b:Guid>{33C0F7EF-E588-4449-9F5B-306869E0975B}</b:Guid>
    <b:Title>Capital Budgeting Simulation Analysis Using Excel</b:Title>
    <b:Pages>1-7</b:Pages>
    <b:Year>2017</b:Year>
    <b:JournalName>Review of Business and Technology Research </b:JournalName>
    <b:Author>
      <b:Author>
        <b:NameList>
          <b:Person>
            <b:Last>Jim</b:Last>
            <b:Middle>Chen</b:Middle>
            <b:First>C.</b:First>
          </b:Person>
          <b:Person>
            <b:Last>Carl</b:Last>
            <b:Middle>McGowan</b:Middle>
            <b:First>B.</b:First>
          </b:Person>
        </b:NameList>
      </b:Author>
    </b:Author>
    <b:RefOrder>83</b:RefOrder>
  </b:Source>
  <b:Source>
    <b:Tag>Asi09</b:Tag>
    <b:SourceType>JournalArticle</b:SourceType>
    <b:Guid>{7C726619-4350-411C-9627-5169657A2417}</b:Guid>
    <b:Title>Firm specific and economy wide determinants of firm profitability</b:Title>
    <b:JournalName>Managerial Finance</b:JournalName>
    <b:Year>2009</b:Year>
    <b:Pages>930-939</b:Pages>
    <b:Author>
      <b:Author>
        <b:NameList>
          <b:Person>
            <b:Last>Asimakpoulos</b:Last>
            <b:First>I.</b:First>
          </b:Person>
          <b:Person>
            <b:Last>Samitas</b:Last>
            <b:First>A.</b:First>
          </b:Person>
          <b:Person>
            <b:Last>Papadognas</b:Last>
            <b:First>T.</b:First>
          </b:Person>
        </b:NameList>
      </b:Author>
    </b:Author>
    <b:RefOrder>84</b:RefOrder>
  </b:Source>
  <b:Source>
    <b:Tag>Chr66</b:Tag>
    <b:SourceType>JournalArticle</b:SourceType>
    <b:Guid>{B7728A73-9017-4040-891D-884F4CEB2FED}</b:Guid>
    <b:Title>Capital Budgeting : Current Practices and Efficiency</b:Title>
    <b:Year>1966</b:Year>
    <b:JournalName>Bureau of Economic Research</b:JournalName>
    <b:Author>
      <b:Author>
        <b:NameList>
          <b:Person>
            <b:Last>Christy</b:Last>
            <b:First>G.A</b:First>
          </b:Person>
        </b:NameList>
      </b:Author>
    </b:Author>
    <b:RefOrder>85</b:RefOrder>
  </b:Source>
  <b:Source>
    <b:Tag>Kla73</b:Tag>
    <b:SourceType>JournalArticle</b:SourceType>
    <b:Guid>{C97FF126-CD8E-4466-BBAC-CE2F851D7E5A}</b:Guid>
    <b:Title>The Association of Capital Budgeting Techniques with Firm Performance </b:Title>
    <b:JournalName>The Accounting Review</b:JournalName>
    <b:Year>1973</b:Year>
    <b:Author>
      <b:Author>
        <b:NameList>
          <b:Person>
            <b:Last>Klammer</b:Last>
            <b:First>T.</b:First>
          </b:Person>
        </b:NameList>
      </b:Author>
    </b:Author>
    <b:RefOrder>86</b:RefOrder>
  </b:Source>
  <b:Source>
    <b:Tag>Kim81</b:Tag>
    <b:SourceType>JournalArticle</b:SourceType>
    <b:Guid>{96DCDA64-91D8-47D4-AA26-BDFBED1ADCBD}</b:Guid>
    <b:Title>An Empirical Study on the Relationship between Capital Budgeting Practices and Earning Performance</b:Title>
    <b:JournalName>Engineering Investment : A journal devoted to the problems of capital investments</b:JournalName>
    <b:Year>1981</b:Year>
    <b:Pages>185-196</b:Pages>
    <b:Author>
      <b:Author>
        <b:NameList>
          <b:Person>
            <b:Last>Kim</b:Last>
            <b:First>Suk H.</b:First>
          </b:Person>
        </b:NameList>
      </b:Author>
    </b:Author>
    <b:RefOrder>87</b:RefOrder>
  </b:Source>
  <b:Source>
    <b:Tag>Pik84</b:Tag>
    <b:SourceType>JournalArticle</b:SourceType>
    <b:Guid>{C3F82619-F2C5-4132-A8BF-9F2056E36995}</b:Guid>
    <b:Title>Sophisticated Capital Budgeting Systems and their Association with Corporate Performance</b:Title>
    <b:JournalName>Managerial and Decision Economics</b:JournalName>
    <b:Year>1984</b:Year>
    <b:Pages>91-97</b:Pages>
    <b:Author>
      <b:Author>
        <b:NameList>
          <b:Person>
            <b:Last>Pike</b:Last>
            <b:Middle>H.</b:Middle>
            <b:First>R.</b:First>
          </b:Person>
        </b:NameList>
      </b:Author>
    </b:Author>
    <b:RefOrder>88</b:RefOrder>
  </b:Source>
  <b:Source>
    <b:Tag>Che95</b:Tag>
    <b:SourceType>JournalArticle</b:SourceType>
    <b:Guid>{B52DB912-5F5E-4F35-A916-DA699092393E}</b:Guid>
    <b:Title>An Empircial Examination of Capital Budgeting Techniques : Impact of Investment Types and Firm Characteristics</b:Title>
    <b:JournalName>The Engineering Economist : A journal devoted to the problems of captial investments</b:JournalName>
    <b:Year>1995</b:Year>
    <b:Pages>145-170</b:Pages>
    <b:Author>
      <b:Author>
        <b:NameList>
          <b:Person>
            <b:Last>Chen</b:Last>
            <b:First>Shimin</b:First>
          </b:Person>
        </b:NameList>
      </b:Author>
    </b:Author>
    <b:RefOrder>89</b:RefOrder>
  </b:Source>
  <b:Source>
    <b:Tag>Pee98</b:Tag>
    <b:SourceType>JournalArticle</b:SourceType>
    <b:Guid>{E7CBB919-F8C8-47CE-BC7A-D174C7ED06F0}</b:Guid>
    <b:Title>How Planning and Capital Budgeting Imprtove SME Performance</b:Title>
    <b:JournalName>Long Range Planning</b:JournalName>
    <b:Year>1998</b:Year>
    <b:Pages>848-856</b:Pages>
    <b:Author>
      <b:Author>
        <b:NameList>
          <b:Person>
            <b:Last>Peel</b:Last>
            <b:Middle>J</b:Middle>
            <b:First>Michael</b:First>
          </b:Person>
          <b:Person>
            <b:Last>Bridge</b:Last>
            <b:First>John</b:First>
          </b:Person>
        </b:NameList>
      </b:Author>
    </b:Author>
    <b:RefOrder>90</b:RefOrder>
  </b:Source>
  <b:Source>
    <b:Tag>Gra01</b:Tag>
    <b:SourceType>JournalArticle</b:SourceType>
    <b:Guid>{FBA81D78-3678-4C9D-B9EE-71E723AD83AC}</b:Guid>
    <b:Title>The Theory and Practice of Corporate Finance : Evidence from the field</b:Title>
    <b:JournalName>Journal of Financial Economics</b:JournalName>
    <b:Year>2001</b:Year>
    <b:Pages>187-243</b:Pages>
    <b:Author>
      <b:Author>
        <b:NameList>
          <b:Person>
            <b:Last>Graham</b:Last>
          </b:Person>
          <b:Person>
            <b:Last>Harvey</b:Last>
          </b:Person>
        </b:NameList>
      </b:Author>
    </b:Author>
    <b:RefOrder>91</b:RefOrder>
  </b:Source>
  <b:Source>
    <b:Tag>Bes06</b:Tag>
    <b:SourceType>Report</b:SourceType>
    <b:Guid>{0508FBE2-EEBF-49CF-8840-3BCD7612575B}</b:Guid>
    <b:Title>An Empircial Study of Capital Budgeting Evaluation Techniques Used By The Firms In Nelson Mandela Metropole</b:Title>
    <b:JournalName>Cost and Management Accounting</b:JournalName>
    <b:Year>2006</b:Year>
    <b:Author>
      <b:Author>
        <b:NameList>
          <b:Person>
            <b:Last>Bester</b:Last>
            <b:First>L.</b:First>
          </b:Person>
        </b:NameList>
      </b:Author>
    </b:Author>
    <b:City>Nelson Mandela , Metropole</b:City>
    <b:Publisher>Cost and Management Accounting, Nelson Mandela Metropolitan University, </b:Publisher>
    <b:RefOrder>92</b:RefOrder>
  </b:Source>
  <b:Source>
    <b:Tag>Mod58</b:Tag>
    <b:SourceType>JournalArticle</b:SourceType>
    <b:Guid>{BBFE5AB9-A453-4072-9042-7AE624A017CE}</b:Guid>
    <b:Title>The Cost of Capital, Corporation Finance, and the Theory of Investment</b:Title>
    <b:Year>1958</b:Year>
    <b:JournalName>American Economic Review</b:JournalName>
    <b:Author>
      <b:Author>
        <b:NameList>
          <b:Person>
            <b:Last>Modigliani</b:Last>
            <b:First>Franco</b:First>
          </b:Person>
          <b:Person>
            <b:Last>Miller</b:Last>
            <b:First>Merton H.</b:First>
          </b:Person>
        </b:NameList>
      </b:Author>
    </b:Author>
    <b:RefOrder>93</b:RefOrder>
  </b:Source>
  <b:Source>
    <b:Tag>Jen76</b:Tag>
    <b:SourceType>JournalArticle</b:SourceType>
    <b:Guid>{A4C58E44-B4BA-4A55-95EC-2F395E739C59}</b:Guid>
    <b:Title>Theory of the Firm: managerial behaviour, agency cost, and ownership structure</b:Title>
    <b:JournalName>Journal of Financial Economics</b:JournalName>
    <b:Year>1976</b:Year>
    <b:Pages>305-360</b:Pages>
    <b:Author>
      <b:Author>
        <b:NameList>
          <b:Person>
            <b:Last>Jensen</b:Last>
            <b:First>M.</b:First>
          </b:Person>
          <b:Person>
            <b:Last>Meckling</b:Last>
            <b:First>W.</b:First>
          </b:Person>
        </b:NameList>
      </b:Author>
    </b:Author>
    <b:RefOrder>94</b:RefOrder>
  </b:Source>
  <b:Source>
    <b:Tag>Don</b:Tag>
    <b:SourceType>JournalArticle</b:SourceType>
    <b:Guid>{73A4C978-0DA3-43AD-8F2F-AEE07DC1C76D}</b:Guid>
    <b:Title>Corporate Debt Policy: A study of corporate debt policy and the determination of corporate debt capacity</b:Title>
    <b:Author>
      <b:Author>
        <b:NameList>
          <b:Person>
            <b:Last>Donaldson</b:Last>
            <b:First>Gordon</b:First>
          </b:Person>
        </b:NameList>
      </b:Author>
    </b:Author>
    <b:Year>1961</b:Year>
    <b:RefOrder>95</b:RefOrder>
  </b:Source>
  <b:Source>
    <b:Tag>Git10</b:Tag>
    <b:SourceType>Book</b:SourceType>
    <b:Guid>{FED45406-F09F-4ACB-8844-25124BF6CAB8}</b:Guid>
    <b:Title>Principles of Managerial Finance</b:Title>
    <b:Year>2010</b:Year>
    <b:Author>
      <b:Author>
        <b:NameList>
          <b:Person>
            <b:Last>Gitman</b:Last>
            <b:Middle>J.</b:Middle>
            <b:First>L.</b:First>
          </b:Person>
          <b:Person>
            <b:Last>Zutter</b:Last>
            <b:Middle>J.</b:Middle>
            <b:First>C.</b:First>
          </b:Person>
        </b:NameList>
      </b:Author>
    </b:Author>
    <b:City>New York</b:City>
    <b:Publisher>Prentice Hall</b:Publisher>
    <b:RefOrder>96</b:RefOrder>
  </b:Source>
  <b:Source>
    <b:Tag>Har90</b:Tag>
    <b:SourceType>JournalArticle</b:SourceType>
    <b:Guid>{B98CB567-8FC8-4C18-85E6-A6DDD904D171}</b:Guid>
    <b:Title>Capital Structure and The Informational Role of Debt</b:Title>
    <b:Year>1990</b:Year>
    <b:JournalName>Journal of Finance</b:JournalName>
    <b:Pages>321-349</b:Pages>
    <b:Author>
      <b:Author>
        <b:NameList>
          <b:Person>
            <b:Last>Harris</b:Last>
            <b:First>M.</b:First>
          </b:Person>
          <b:Person>
            <b:Last>Raviv</b:Last>
            <b:First>A.</b:First>
          </b:Person>
        </b:NameList>
      </b:Author>
    </b:Author>
    <b:RefOrder>97</b:RefOrder>
  </b:Source>
  <b:Source>
    <b:Tag>Rod95</b:Tag>
    <b:SourceType>JournalArticle</b:SourceType>
    <b:Guid>{3637AB7B-634D-4B3C-BEA1-2920653EB371}</b:Guid>
    <b:Title>Corporate Capital Structure Decisions: Evidence from leverage buyouts</b:Title>
    <b:JournalName>Financial Management</b:JournalName>
    <b:Year>1995</b:Year>
    <b:Pages>76-87</b:Pages>
    <b:Author>
      <b:Author>
        <b:NameList>
          <b:Person>
            <b:Last>Roden</b:Last>
            <b:Middle>M.</b:Middle>
            <b:First>D.</b:First>
          </b:Person>
          <b:Person>
            <b:Last>Lewellen</b:Last>
            <b:Middle>G.</b:Middle>
            <b:First>W.</b:First>
          </b:Person>
        </b:NameList>
      </b:Author>
    </b:Author>
    <b:RefOrder>98</b:RefOrder>
  </b:Source>
  <b:Source>
    <b:Tag>Raj95</b:Tag>
    <b:SourceType>JournalArticle</b:SourceType>
    <b:Guid>{663BD4A9-E4D0-49CE-8C06-4269E4B508A7}</b:Guid>
    <b:Title>What do we know about capital sturcture</b:Title>
    <b:JournalName>Journal of Finance</b:JournalName>
    <b:Year>1995</b:Year>
    <b:Pages>1421-1460</b:Pages>
    <b:Author>
      <b:Author>
        <b:NameList>
          <b:Person>
            <b:Last>Rajan</b:Last>
            <b:Middle>G.</b:Middle>
            <b:First>R.</b:First>
          </b:Person>
          <b:Person>
            <b:Last>Zingles</b:Last>
            <b:First>L.</b:First>
          </b:Person>
        </b:NameList>
      </b:Author>
    </b:Author>
    <b:RefOrder>99</b:RefOrder>
  </b:Source>
  <b:Source>
    <b:Tag>Fam98</b:Tag>
    <b:SourceType>JournalArticle</b:SourceType>
    <b:Guid>{27D6DC2D-4942-4773-9E5E-4B5EBF5D7600}</b:Guid>
    <b:Title>Taxes, financing decisions, and firm value</b:Title>
    <b:JournalName>Journal of Finance</b:JournalName>
    <b:Year>1998</b:Year>
    <b:Pages>819-843</b:Pages>
    <b:Author>
      <b:Author>
        <b:NameList>
          <b:Person>
            <b:Last>Fama</b:Last>
            <b:First>E.F</b:First>
          </b:Person>
          <b:Person>
            <b:Last>French</b:Last>
            <b:First>K.R</b:First>
          </b:Person>
        </b:NameList>
      </b:Author>
    </b:Author>
    <b:RefOrder>100</b:RefOrder>
  </b:Source>
  <b:Source>
    <b:Tag>Gra00</b:Tag>
    <b:SourceType>JournalArticle</b:SourceType>
    <b:Guid>{260F0590-B643-41C2-9B3A-09AB6CC75A77}</b:Guid>
    <b:Title>How big are the tax benefits of debts</b:Title>
    <b:JournalName>Journal of Finance</b:JournalName>
    <b:Year>2000</b:Year>
    <b:Pages>1901-1941</b:Pages>
    <b:Author>
      <b:Author>
        <b:NameList>
          <b:Person>
            <b:Last>Graham</b:Last>
            <b:First>J.R</b:First>
          </b:Person>
        </b:NameList>
      </b:Author>
    </b:Author>
    <b:RefOrder>101</b:RefOrder>
  </b:Source>
  <b:Source>
    <b:Tag>Gle00</b:Tag>
    <b:SourceType>JournalArticle</b:SourceType>
    <b:Guid>{B9D35229-254E-45F1-A2F9-31120223CAF5}</b:Guid>
    <b:Title>The interrelationship between culture, capital sturcture and performance: Evidence from European retailers</b:Title>
    <b:JournalName>Journal fo Business Research</b:JournalName>
    <b:Year>2000</b:Year>
    <b:Pages>185-191</b:Pages>
    <b:Author>
      <b:Author>
        <b:NameList>
          <b:Person>
            <b:Last>Gleason</b:Last>
            <b:Middle>C.</b:Middle>
            <b:First>K.</b:First>
          </b:Person>
          <b:Person>
            <b:Last>Lynette</b:Last>
            <b:First>KM.</b:First>
          </b:Person>
          <b:Person>
            <b:Last>Ike</b:Last>
            <b:First>M.</b:First>
          </b:Person>
        </b:NameList>
      </b:Author>
    </b:Author>
    <b:RefOrder>102</b:RefOrder>
  </b:Source>
  <b:Source>
    <b:Tag>Fam02</b:Tag>
    <b:SourceType>JournalArticle</b:SourceType>
    <b:Guid>{12359258-51CE-4BE8-8E67-A89E593D8483}</b:Guid>
    <b:Title>Testing Tradeoff and Pecking order prediction</b:Title>
    <b:JournalName>Review of Financial Studies</b:JournalName>
    <b:Year>2002</b:Year>
    <b:Pages>1-33</b:Pages>
    <b:Author>
      <b:Author>
        <b:NameList>
          <b:Person>
            <b:Last>Fama</b:Last>
            <b:Middle>F.</b:Middle>
            <b:First>E.</b:First>
          </b:Person>
          <b:Person>
            <b:Last>French</b:Last>
            <b:Middle>R.</b:Middle>
            <b:First>K.</b:First>
          </b:Person>
        </b:NameList>
      </b:Author>
    </b:Author>
    <b:RefOrder>103</b:RefOrder>
  </b:Source>
  <b:Source>
    <b:Tag>Mes03</b:Tag>
    <b:SourceType>ConferenceProceedings</b:SourceType>
    <b:Guid>{4457C71C-3639-4700-95F6-AC5C626D826D}</b:Guid>
    <b:Title>Capital Structure and Profitability : The Brazilian Case</b:Title>
    <b:JournalName>Academny of Business and Administration Sciences Conference </b:JournalName>
    <b:Year>2003</b:Year>
    <b:Pages>11-13</b:Pages>
    <b:Author>
      <b:Author>
        <b:NameList>
          <b:Person>
            <b:Last>Mesquita</b:Last>
            <b:First>J.M.C</b:First>
          </b:Person>
          <b:Person>
            <b:Last>Lara</b:Last>
            <b:First>J.E</b:First>
          </b:Person>
        </b:NameList>
      </b:Author>
    </b:Author>
    <b:ConferenceName>Academny of Business and Adminstration Sciences Conference </b:ConferenceName>
    <b:City>Brazil</b:City>
    <b:Publisher>Vancouver </b:Publisher>
    <b:RefOrder>104</b:RefOrder>
  </b:Source>
  <b:Source>
    <b:Tag>Ona10</b:Tag>
    <b:SourceType>JournalArticle</b:SourceType>
    <b:Guid>{151F57F1-2CCB-4141-A7C7-8332FCB26C7A}</b:Guid>
    <b:Title>Capital Structure and Firms' Performance : Evidence from Nigeria</b:Title>
    <b:JournalName>European Journal Economics, Finance and Adminstrative Sciences</b:JournalName>
    <b:Year>2010</b:Year>
    <b:Pages>70-82</b:Pages>
    <b:Author>
      <b:Author>
        <b:NameList>
          <b:Person>
            <b:Last>Onaolapo</b:Last>
            <b:First>A.A</b:First>
          </b:Person>
          <b:Person>
            <b:Last>Kajola</b:Last>
            <b:First>S.O</b:First>
          </b:Person>
        </b:NameList>
      </b:Author>
    </b:Author>
    <b:RefOrder>105</b:RefOrder>
  </b:Source>
  <b:Source>
    <b:Tag>Sal12</b:Tag>
    <b:SourceType>JournalArticle</b:SourceType>
    <b:Guid>{84409D97-BA40-43FE-AD38-FF6D280FB7A4}</b:Guid>
    <b:Title>Capital Structure and Firm's Performance: Evidence from Malaysian listed companies</b:Title>
    <b:Pages>156-166</b:Pages>
    <b:Year>2012</b:Year>
    <b:JournalName>Social and Behavioural Sciences</b:JournalName>
    <b:Author>
      <b:Author>
        <b:NameList>
          <b:Person>
            <b:Last>Salim</b:Last>
            <b:First>M.</b:First>
          </b:Person>
          <b:Person>
            <b:Last>Yadev</b:Last>
            <b:First>R.</b:First>
          </b:Person>
        </b:NameList>
      </b:Author>
    </b:Author>
    <b:RefOrder>106</b:RefOrder>
  </b:Source>
  <b:Source>
    <b:Tag>Zei07</b:Tag>
    <b:SourceType>JournalArticle</b:SourceType>
    <b:Guid>{D0F51046-8D23-44CB-A298-B2E370976F5A}</b:Guid>
    <b:Title>Capital Structure and Corporate Performance : Evidence from Jordon</b:Title>
    <b:JournalName>Australasian Accounting Business and Finance Journal</b:JournalName>
    <b:Year>2007</b:Year>
    <b:Pages>40-53</b:Pages>
    <b:Author>
      <b:Author>
        <b:NameList>
          <b:Person>
            <b:Last>Zeitun</b:Last>
            <b:First>R.</b:First>
          </b:Person>
          <b:Person>
            <b:Last>Tian</b:Last>
            <b:First>G.</b:First>
          </b:Person>
        </b:NameList>
      </b:Author>
    </b:Author>
    <b:RefOrder>107</b:RefOrder>
  </b:Source>
  <b:Source>
    <b:Tag>App14</b:Tag>
    <b:SourceType>JournalArticle</b:SourceType>
    <b:Guid>{6455CF8A-C724-4490-BE81-11B1F715390C}</b:Guid>
    <b:Title>Capital Structure and Firm Performance: Evidence from Ghana Stock Exchange</b:Title>
    <b:JournalName>Research Journal of Finance and Accounting</b:JournalName>
    <b:Year>2014</b:Year>
    <b:Pages>37-43</b:Pages>
    <b:Author>
      <b:Author>
        <b:NameList>
          <b:Person>
            <b:Last>Appiadjei</b:Last>
            <b:First>E.A</b:First>
          </b:Person>
        </b:NameList>
      </b:Author>
    </b:Author>
    <b:RefOrder>108</b:RefOrder>
  </b:Source>
  <b:Source>
    <b:Tag>Lin62</b:Tag>
    <b:SourceType>JournalArticle</b:SourceType>
    <b:Guid>{E18BF4E9-D57F-4C39-B22C-F2DF1E5A2401}</b:Guid>
    <b:Title>Dividends, Earnings, Leverage, Stock Prices, and the Supply of Capital to Corporations</b:Title>
    <b:JournalName>Review of Economics and Statistics</b:JournalName>
    <b:Year>1962</b:Year>
    <b:Pages>243-269</b:Pages>
    <b:Author>
      <b:Author>
        <b:NameList>
          <b:Person>
            <b:Last>Linter</b:Last>
            <b:First>John</b:First>
          </b:Person>
        </b:NameList>
      </b:Author>
    </b:Author>
    <b:RefOrder>109</b:RefOrder>
  </b:Source>
  <b:Source>
    <b:Tag>Gor63</b:Tag>
    <b:SourceType>JournalArticle</b:SourceType>
    <b:Guid>{AF8A3406-F1B4-4434-9ED1-8D4325D35373}</b:Guid>
    <b:Title>Optimal Investment and Financing Policy </b:Title>
    <b:JournalName>Journal of Finance</b:JournalName>
    <b:Year>1963</b:Year>
    <b:Pages>264-272</b:Pages>
    <b:Author>
      <b:Author>
        <b:NameList>
          <b:Person>
            <b:Last>Gordon</b:Last>
            <b:First>Myron J.</b:First>
          </b:Person>
        </b:NameList>
      </b:Author>
    </b:Author>
    <b:RefOrder>110</b:RefOrder>
  </b:Source>
  <b:Source>
    <b:Tag>Ben97</b:Tag>
    <b:SourceType>JournalArticle</b:SourceType>
    <b:Guid>{572ECA80-4EE9-4CFD-9EB3-EA63F79B8BB1}</b:Guid>
    <b:Title>Do Changes in Dividend Signal Future or Past</b:Title>
    <b:JournalName>Journal of Finance</b:JournalName>
    <b:Year>1997</b:Year>
    <b:Pages>1007-1034</b:Pages>
    <b:Author>
      <b:Author>
        <b:NameList>
          <b:Person>
            <b:Last>Benartzi</b:Last>
            <b:First>S.</b:First>
          </b:Person>
          <b:Person>
            <b:Last>Michaely</b:Last>
            <b:First>R.</b:First>
          </b:Person>
          <b:Person>
            <b:Last>Thaler</b:Last>
            <b:First>R.</b:First>
          </b:Person>
        </b:NameList>
      </b:Author>
    </b:Author>
    <b:RefOrder>111</b:RefOrder>
  </b:Source>
  <b:Source xmlns:b="http://schemas.openxmlformats.org/officeDocument/2006/bibliography">
    <b:Tag>San01</b:Tag>
    <b:SourceType>JournalArticle</b:SourceType>
    <b:Guid>{44FFB4ED-53D3-42BE-A388-036076E06064}</b:Guid>
    <b:Title>Do Dividend Initiations Signal Firm Prosperity</b:Title>
    <b:JournalName>Journal of Finance</b:JournalName>
    <b:Year>2001</b:Year>
    <b:Pages>Working Paper</b:Pages>
    <b:Author>
      <b:Author>
        <b:NameList>
          <b:Person>
            <b:Last>Sanjay</b:Last>
            <b:First>Sharma</b:First>
          </b:Person>
        </b:NameList>
      </b:Author>
    </b:Author>
    <b:RefOrder>112</b:RefOrder>
  </b:Source>
  <b:Source>
    <b:Tag>Ami07</b:Tag>
    <b:SourceType>JournalArticle</b:SourceType>
    <b:Guid>{D57BDE9D-CA6E-4A3E-AA4E-A6CFCAA22D92}</b:Guid>
    <b:Title>How Does Dividend Policy Affect Performance of Firm On Ghana Stock Exchange </b:Title>
    <b:JournalName>Investment Management and Financial Associations</b:JournalName>
    <b:Year>2007</b:Year>
    <b:Pages>103-112</b:Pages>
    <b:Author>
      <b:Author>
        <b:NameList>
          <b:Person>
            <b:Last>Amidu</b:Last>
            <b:First>M</b:First>
          </b:Person>
        </b:NameList>
      </b:Author>
    </b:Author>
    <b:RefOrder>113</b:RefOrder>
  </b:Source>
  <b:Source>
    <b:Tag>Tim12</b:Tag>
    <b:SourceType>JournalArticle</b:SourceType>
    <b:Guid>{E4E6B47E-ADE6-4576-9E5A-DDCB03048073}</b:Guid>
    <b:Title>The Relationship Between Dividend Payout and Firm Performance: A study of listed companies in Kenya</b:Title>
    <b:JournalName>European Scientific Journal</b:JournalName>
    <b:Year>2012</b:Year>
    <b:Pages>199-215</b:Pages>
    <b:Author>
      <b:Author>
        <b:NameList>
          <b:Person>
            <b:Last>Timothy</b:Last>
            <b:First>M.M</b:First>
          </b:Person>
          <b:Person>
            <b:Last>Peter </b:Last>
            <b:First>O.</b:First>
          </b:Person>
        </b:NameList>
      </b:Author>
    </b:Author>
    <b:RefOrder>114</b:RefOrder>
  </b:Source>
  <b:Source>
    <b:Tag>Mas14</b:Tag>
    <b:SourceType>JournalArticle</b:SourceType>
    <b:Guid>{ED623D6D-D772-44FB-972D-8DD95641ADF8}</b:Guid>
    <b:Title>Dividend Policy and its Impact on Stock Price - A study on commercial banks listed in Dhaka Stock Exchange </b:Title>
    <b:JournalName>Global Disclosure of Economics and Business </b:JournalName>
    <b:Year>2014</b:Year>
    <b:Author>
      <b:Author>
        <b:NameList>
          <b:Person>
            <b:Last>Masum</b:Last>
            <b:First>A.</b:First>
          </b:Person>
        </b:NameList>
      </b:Author>
    </b:Author>
    <b:RefOrder>115</b:RefOrder>
  </b:Source>
  <b:Source>
    <b:Tag>Nis</b:Tag>
    <b:SourceType>JournalArticle</b:SourceType>
    <b:Guid>{B7B31FFC-D5E6-430D-82F6-42CB97FD613F}</b:Guid>
    <b:Title>Determinants of Dividend Policy of Indian Companies : A Panel Data Analysis</b:Title>
    <b:Author>
      <b:Author>
        <b:NameList>
          <b:Person>
            <b:Last>Nishant</b:Last>
            <b:Middle>Labhane</b:Middle>
            <b:First>B.</b:First>
          </b:Person>
          <b:Person>
            <b:Last>Mahakud</b:Last>
            <b:First>Jitendra</b:First>
          </b:Person>
        </b:NameList>
      </b:Author>
    </b:Author>
    <b:Year>2016</b:Year>
    <b:RefOrder>116</b:RefOrder>
  </b:Source>
  <b:Source>
    <b:Tag>Kha16</b:Tag>
    <b:SourceType>JournalArticle</b:SourceType>
    <b:Guid>{3F68CB08-D152-48D7-8506-01991F44F90B}</b:Guid>
    <b:Title>Impact of Dividend Policy on Firm Performance : An Empirical Evidence From Pakistan Stock Exchange </b:Title>
    <b:JournalName>American Journal of Economics , Finance and Management </b:JournalName>
    <b:Year>2016</b:Year>
    <b:Author>
      <b:Author>
        <b:NameList>
          <b:Person>
            <b:Last>Khan</b:Last>
            <b:Middle>Nazar</b:Middle>
            <b:First>Mula</b:First>
          </b:Person>
          <b:Person>
            <b:Last>Nadeem</b:Last>
            <b:First>Babar</b:First>
          </b:Person>
          <b:Person>
            <b:Last>Islam</b:Last>
            <b:First>Fahad</b:First>
          </b:Person>
          <b:Person>
            <b:Last>Salman</b:Last>
            <b:First>Muhammed</b:First>
          </b:Person>
          <b:Person>
            <b:Last>Sarwar Gill</b:Last>
            <b:Middle>Akram</b:Middle>
            <b:First>Muhammed</b:First>
          </b:Person>
        </b:NameList>
      </b:Author>
    </b:Author>
    <b:RefOrder>117</b:RefOrder>
  </b:Source>
  <b:Source>
    <b:Tag>Kan171</b:Tag>
    <b:SourceType>JournalArticle</b:SourceType>
    <b:Guid>{3BE10A7F-CAE8-4D69-887E-7FD48402DCD2}</b:Guid>
    <b:Title>The Relationship Between Dividend Payout and Firm Financial Performance</b:Title>
    <b:JournalName>Research in Business and Management </b:JournalName>
    <b:Year>2017</b:Year>
    <b:Author>
      <b:Author>
        <b:NameList>
          <b:Person>
            <b:Last>Kanwal</b:Last>
            <b:First>M.</b:First>
          </b:Person>
          <b:Person>
            <b:Last>Hameed</b:Last>
            <b:First>S.</b:First>
          </b:Person>
        </b:NameList>
      </b:Author>
    </b:Author>
    <b:RefOrder>118</b:RefOrder>
  </b:Source>
  <b:Source>
    <b:Tag>Kol18</b:Tag>
    <b:SourceType>JournalArticle</b:SourceType>
    <b:Guid>{076D122E-C2C5-4FA3-817B-578B9F73C921}</b:Guid>
    <b:Title>Effect of Dividend Policy On the Performance of Listed Oil and Gas Firms in Nigeria </b:Title>
    <b:JournalName>International Journal of Scientific and Research Publications</b:JournalName>
    <b:Year>2018</b:Year>
    <b:Author>
      <b:Author>
        <b:NameList>
          <b:Person>
            <b:Last>Kolawole</b:Last>
            <b:First>E.</b:First>
          </b:Person>
          <b:Person>
            <b:Last>Sadiq</b:Last>
            <b:First>M.S</b:First>
          </b:Person>
          <b:Person>
            <b:Last>Lucky</b:Last>
            <b:First>O.</b:First>
          </b:Person>
        </b:NameList>
      </b:Author>
    </b:Author>
    <b:RefOrder>119</b:RefOrder>
  </b:Source>
  <b:Source>
    <b:Tag>Pri13</b:Tag>
    <b:SourceType>JournalArticle</b:SourceType>
    <b:Guid>{5EEF1D91-FB3E-4ABB-B99D-7B65A1BAFA95}</b:Guid>
    <b:Title>Dividend Policy Ratios and Firm Performance : A case study of selected hotels and restaurants in Sri Lanka.</b:Title>
    <b:JournalName>Global Journal of Commerce and Management Perspective</b:JournalName>
    <b:Year>2013</b:Year>
    <b:Pages>16-22</b:Pages>
    <b:Author>
      <b:Author>
        <b:NameList>
          <b:Person>
            <b:Last>Priya</b:Last>
            <b:First>K.</b:First>
          </b:Person>
          <b:Person>
            <b:Last>Nimalathasan</b:Last>
            <b:First>B.</b:First>
          </b:Person>
        </b:NameList>
      </b:Author>
    </b:Author>
    <b:RefOrder>120</b:RefOrder>
  </b:Source>
  <b:Source>
    <b:Tag>Git07</b:Tag>
    <b:SourceType>Book</b:SourceType>
    <b:Guid>{7C5A2128-CCBF-4FAB-950B-E449F3838CDA}</b:Guid>
    <b:Title>Principles of Managerial Finance</b:Title>
    <b:Year>2007</b:Year>
    <b:City>New York</b:City>
    <b:Publisher>Addison Wilsey</b:Publisher>
    <b:Author>
      <b:Author>
        <b:NameList>
          <b:Person>
            <b:Last>Gitman</b:Last>
            <b:Middle>J</b:Middle>
            <b:First>L.</b:First>
          </b:Person>
        </b:NameList>
      </b:Author>
    </b:Author>
    <b:RefOrder>121</b:RefOrder>
  </b:Source>
  <b:Source>
    <b:Tag>RLi80</b:Tag>
    <b:SourceType>Misc</b:SourceType>
    <b:Guid>{A4C250C0-32B9-4797-8FF2-2116F2C818EA}</b:Guid>
    <b:Title>Tax Preference Theory</b:Title>
    <b:Year>1980</b:Year>
    <b:Author>
      <b:Author>
        <b:NameList>
          <b:Person>
            <b:Last>Litzenberger</b:Last>
            <b:First>R.H</b:First>
          </b:Person>
          <b:Person>
            <b:Last>Ramaswamy</b:Last>
            <b:First>K.</b:First>
          </b:Person>
        </b:NameList>
      </b:Author>
    </b:Author>
    <b:RefOrder>122</b:RefOrder>
  </b:Source>
  <b:Source>
    <b:Tag>Neuon</b:Tag>
    <b:SourceType>Book</b:SourceType>
    <b:Guid>{63E4A469-5E08-4075-B818-891F60729AC2}</b:Guid>
    <b:Title>Social Research Methods ; Qualitative and Quantitative Approaches</b:Title>
    <b:Year>7th Edition, 2013</b:Year>
    <b:Publisher>Pearson</b:Publisher>
    <b:Author>
      <b:Author>
        <b:NameList>
          <b:Person>
            <b:Last>Neuman</b:Last>
            <b:Middle>Lawrence</b:Middle>
            <b:First>W.</b:First>
          </b:Person>
        </b:NameList>
      </b:Author>
    </b:Author>
    <b:RefOrder>123</b:RefOrder>
  </b:Source>
  <b:Source>
    <b:Tag>Nic07</b:Tag>
    <b:SourceType>JournalArticle</b:SourceType>
    <b:Guid>{44047020-3901-476D-BF89-E530652A9513}</b:Guid>
    <b:Title>Using Johnson Curves to Describe Non-Normal Process Data</b:Title>
    <b:JournalName>Quality Engineering</b:JournalName>
    <b:Year>2007</b:Year>
    <b:Pages>329-336</b:Pages>
    <b:Author>
      <b:Author>
        <b:NameList>
          <b:Person>
            <b:Last>Nicholas R.</b:Last>
            <b:First>Farnum</b:First>
          </b:Person>
        </b:NameList>
      </b:Author>
    </b:Author>
    <b:RefOrder>124</b:RefOrder>
  </b:Source>
  <b:Source>
    <b:Tag>Wei01</b:Tag>
    <b:SourceType>Report</b:SourceType>
    <b:Guid>{8599BB9E-18FD-4C14-BC16-3080A4837D7C}</b:Guid>
    <b:Title>Yeo-Johnson Power Tranformation</b:Title>
    <b:Year>2001</b:Year>
    <b:Publisher>National Science Foundation</b:Publisher>
    <b:City>US</b:City>
    <b:Author>
      <b:Author>
        <b:NameList>
          <b:Person>
            <b:Last>Weisberg</b:Last>
            <b:First>Sanford</b:First>
          </b:Person>
        </b:NameList>
      </b:Author>
    </b:Author>
    <b:RefOrder>125</b:RefOrder>
  </b:Source>
  <b:Source>
    <b:Tag>Guj17</b:Tag>
    <b:SourceType>Book</b:SourceType>
    <b:Guid>{531A3027-7594-48F2-A386-642F30CAC7A8}</b:Guid>
    <b:Title>Basic Econometrics</b:Title>
    <b:Year>2017</b:Year>
    <b:Publisher>MC GRAW</b:Publisher>
    <b:Author>
      <b:Author>
        <b:NameList>
          <b:Person>
            <b:Last>Gujrati</b:Last>
            <b:Middle>N.</b:Middle>
            <b:First>Damodar</b:First>
          </b:Person>
          <b:Person>
            <b:Last>Porter</b:Last>
            <b:First>Dawn C.</b:First>
          </b:Person>
        </b:NameList>
      </b:Author>
    </b:Author>
    <b:RefOrder>126</b:RefOrder>
  </b:Source>
  <b:Source>
    <b:Tag>Bar86</b:Tag>
    <b:SourceType>JournalArticle</b:SourceType>
    <b:Guid>{AF10A599-4482-4CBA-B810-699A57D1C244}</b:Guid>
    <b:Title>The moderator mediator variable distinction in social psychological research: Conceptual, Strategic and Statistical Consideration</b:Title>
    <b:Year>1986</b:Year>
    <b:JournalName>Journal of Perosnality and Social Psychology</b:JournalName>
    <b:Pages>1173-1182</b:Pages>
    <b:Author>
      <b:Author>
        <b:NameList>
          <b:Person>
            <b:Last>Baron</b:Last>
            <b:First>R.M</b:First>
          </b:Person>
          <b:Person>
            <b:Last>Kenny</b:Last>
            <b:First>D.A</b:First>
          </b:Person>
        </b:NameList>
      </b:Author>
    </b:Author>
    <b:RefOrder>127</b:RefOrder>
  </b:Source>
  <b:Source>
    <b:Tag>Mei1</b:Tag>
    <b:SourceType>Book</b:SourceType>
    <b:Guid>{9B25DC96-2537-4804-98E3-D832424591B8}</b:Guid>
    <b:Title>Accounting, The Basis of Business Decisions</b:Title>
    <b:Author>
      <b:Author>
        <b:NameList>
          <b:Person>
            <b:Last>Meigs</b:Last>
            <b:First>Walter B.</b:First>
          </b:Person>
          <b:Person>
            <b:Last>Meigs</b:Last>
            <b:First>Robert F.</b:First>
          </b:Person>
        </b:NameList>
      </b:Author>
    </b:Author>
    <b:Year>2017</b:Year>
    <b:RefOrder>128</b:RefOrder>
  </b:Source>
  <b:Source>
    <b:Tag>Sau</b:Tag>
    <b:SourceType>Book</b:SourceType>
    <b:Guid>{BB7CBDAE-1DCD-462C-89B8-1FF4F56F999D}</b:Guid>
    <b:BookTitle>Research Methods for Business Students</b:BookTitle>
    <b:Pages>286, 292-293</b:Pages>
    <b:Author>
      <b:BookAuthor>
        <b:NameList>
          <b:Person>
            <b:Last>Saunders</b:Last>
            <b:First>Mark</b:First>
          </b:Person>
          <b:Person>
            <b:Last>Lewis</b:Last>
            <b:First>Philp</b:First>
          </b:Person>
          <b:Person>
            <b:Last>Thornihill</b:Last>
            <b:First>Adrian</b:First>
          </b:Person>
        </b:NameList>
      </b:BookAuthor>
      <b:Author>
        <b:NameList>
          <b:Person>
            <b:Last>Saunders</b:Last>
            <b:First>Mark</b:First>
          </b:Person>
          <b:Person>
            <b:Last>Lewis</b:Last>
            <b:First>Philp</b:First>
          </b:Person>
          <b:Person>
            <b:Last>Thornhill</b:Last>
            <b:First>Adrian</b:First>
          </b:Person>
        </b:NameList>
      </b:Author>
    </b:Author>
    <b:Title>Research Methods for Business Students</b:Title>
    <b:Year>2015</b:Year>
    <b:Publisher>Pearson</b:Publisher>
    <b:RefOrder>129</b:RefOrder>
  </b:Source>
  <b:Source>
    <b:Tag>Jam17</b:Tag>
    <b:SourceType>BookSection</b:SourceType>
    <b:Guid>{940513B1-FE53-438E-9050-FE945F3CC07E}</b:Guid>
    <b:Title>Introduction to Statistical Learning : With applications</b:Title>
    <b:Year>2017</b:Year>
    <b:Publisher>Springer</b:Publisher>
    <b:Author>
      <b:Author>
        <b:NameList>
          <b:Person>
            <b:Last>James G.</b:Last>
          </b:Person>
          <b:Person>
            <b:Last>Witten D.</b:Last>
          </b:Person>
          <b:Person>
            <b:Last>Hastie T</b:Last>
          </b:Person>
          <b:Person>
            <b:Last>Tibshrani R.</b:Last>
          </b:Person>
        </b:NameList>
      </b:Author>
    </b:Author>
    <b:RefOrder>130</b:RefOrder>
  </b:Source>
  <b:Source>
    <b:Tag>Kan20</b:Tag>
    <b:SourceType>JournalArticle</b:SourceType>
    <b:Guid>{D113C06E-FE20-49E0-942A-EDB651FB2116}</b:Guid>
    <b:Title>Impact of Loan Accessibility on Working Capital Management and Profitability</b:Title>
    <b:Year>2020</b:Year>
    <b:Pages>220-230</b:Pages>
    <b:JournalName>Global Social Sciences Review </b:JournalName>
    <b:Author>
      <b:Author>
        <b:NameList>
          <b:Person>
            <b:Last>Kanwal</b:Last>
            <b:First>Iqbal Khan</b:First>
          </b:Person>
          <b:Person>
            <b:Last>Adeel Nasir</b:Last>
          </b:Person>
          <b:Person>
            <b:Last>Aniqa Arslan</b:Last>
          </b:Person>
        </b:NameList>
      </b:Author>
    </b:Author>
    <b:RefOrder>131</b:RefOrder>
  </b:Source>
  <b:Source>
    <b:Tag>Dav10</b:Tag>
    <b:SourceType>JournalArticle</b:SourceType>
    <b:Guid>{D78E40B2-6F5D-4A0E-8BBB-3E015CCC378B}</b:Guid>
    <b:Title>The influence of working capital management components on Corporate Profitability: A survey on Kenian listed firms</b:Title>
    <b:Year>2010</b:Year>
    <b:JournalName>Research Journal of Business Management</b:JournalName>
    <b:Author>
      <b:Author>
        <b:NameList>
          <b:Person>
            <b:Last>David</b:Last>
            <b:First>M.Mathuva</b:First>
          </b:Person>
        </b:NameList>
      </b:Author>
    </b:Author>
    <b:RefOrder>132</b:RefOrder>
  </b:Source>
  <b:Source>
    <b:Tag>Ami12</b:Tag>
    <b:SourceType>JournalArticle</b:SourceType>
    <b:Guid>{086DDD2E-00E3-4B1C-A3D5-7676BE997BE9}</b:Guid>
    <b:Title>A Nexus between liquidity / Profitability Trade offs for Working Capital Management in Nigeria's Manufacutring Sector</b:Title>
    <b:JournalName>International Journal of Arts and Commerce</b:JournalName>
    <b:Year>2012</b:Year>
    <b:Author>
      <b:Author>
        <b:NameList>
          <b:Person>
            <b:Last>Aminu</b:Last>
            <b:First>Yusuf</b:First>
          </b:Person>
        </b:NameList>
      </b:Author>
    </b:Author>
    <b:RefOrder>133</b:RefOrder>
  </b:Source>
  <b:Source>
    <b:Tag>BMa15</b:Tag>
    <b:SourceType>JournalArticle</b:SourceType>
    <b:Guid>{DB95834F-2094-4048-88AA-540228DECA9B}</b:Guid>
    <b:Title>Trade off between Liquidity and Profitability</b:Title>
    <b:JournalName>International Journal of Commerce, Business and Management</b:JournalName>
    <b:Year>2015</b:Year>
    <b:Author>
      <b:Author>
        <b:NameList>
          <b:Person>
            <b:Last>B.Madhusudhan</b:Last>
            <b:First>Reddy</b:First>
          </b:Person>
        </b:NameList>
      </b:Author>
    </b:Author>
    <b:RefOrder>134</b:RefOrder>
  </b:Source>
  <b:Source>
    <b:Tag>Gul18</b:Tag>
    <b:SourceType>JournalArticle</b:SourceType>
    <b:Guid>{5D1A1EDB-C1B1-4E6E-A09A-F7102D5B9349}</b:Guid>
    <b:Title>The Review and Use of Capital Budgeting Investment Techniques in Evaluating Investment Projects: Evidence From Manufacturing Companies Listed on Pakistan Stock Exchange</b:Title>
    <b:JournalName>City University Research Journal</b:JournalName>
    <b:Year>2018</b:Year>
    <b:Pages>247-260</b:Pages>
    <b:Author>
      <b:Author>
        <b:NameList>
          <b:Person>
            <b:Last>Sajida</b:Last>
            <b:First>Gul</b:First>
          </b:Person>
          <b:Person>
            <b:Last>Hina </b:Last>
            <b:First>Gul</b:First>
          </b:Person>
          <b:Person>
            <b:Last>Maqsood</b:Last>
            <b:First>Haider</b:First>
          </b:Person>
        </b:NameList>
      </b:Author>
    </b:Author>
    <b:RefOrder>135</b:RefOrder>
  </b:Source>
  <b:Source>
    <b:Tag>Mic98</b:Tag>
    <b:SourceType>JournalArticle</b:SourceType>
    <b:Guid>{6DC2F021-ADA4-4B99-86C2-E2EEF696C5AF}</b:Guid>
    <b:Title>How Planning and Capital Budgeting Improve SME performance</b:Title>
    <b:JournalName>Long Range Planning</b:JournalName>
    <b:Year>1998</b:Year>
    <b:Pages>848-856</b:Pages>
    <b:Author>
      <b:Author>
        <b:NameList>
          <b:Person>
            <b:Last>Michael </b:Last>
            <b:First>J.Peel</b:First>
          </b:Person>
          <b:Person>
            <b:Last>John</b:Last>
            <b:First>Bridge</b:First>
          </b:Person>
        </b:NameList>
      </b:Author>
    </b:Author>
    <b:RefOrder>136</b:RefOrder>
  </b:Source>
  <b:Source>
    <b:Tag>Wil95</b:Tag>
    <b:SourceType>JournalArticle</b:SourceType>
    <b:Guid>{FC5E8A26-37E3-48E2-A93B-5EEEECC56FD8}</b:Guid>
    <b:Title>The impact of Sales and Income Growth on Profitability and Market Measures in Actual and Stimulated Industries</b:Title>
    <b:JournalName>Developments in Business Simulation and Experiential Exercises, Volume 2</b:JournalName>
    <b:Year>1995</b:Year>
    <b:Pages>56-62</b:Pages>
    <b:Author>
      <b:Author>
        <b:NameList>
          <b:Person>
            <b:Last>William</b:Last>
            <b:First>C. House</b:First>
          </b:Person>
          <b:Person>
            <b:Last>Michael E. Benefield</b:Last>
          </b:Person>
        </b:NameList>
      </b:Author>
    </b:Author>
    <b:RefOrder>137</b:RefOrder>
  </b:Source>
  <b:Source>
    <b:Tag>Hik19</b:Tag>
    <b:SourceType>JournalArticle</b:SourceType>
    <b:Guid>{78C63B78-DD91-4854-BACF-BB71ED58FB0B}</b:Guid>
    <b:Title>The Impact of Decision Investment, Capital Structure and Growth on Profitability and Company Value in Manufacturing Sector in Indonesia</b:Title>
    <b:JournalName>International Journal of Accounting and Finance in Asia Pacific, Volume 2</b:JournalName>
    <b:Year>2019</b:Year>
    <b:Pages>1-7</b:Pages>
    <b:Author>
      <b:Author>
        <b:NameList>
          <b:Person>
            <b:Last>Hikma</b:Last>
            <b:First>Niar</b:First>
          </b:Person>
        </b:NameList>
      </b:Author>
    </b:Author>
    <b:RefOrder>138</b:RefOrder>
  </b:Source>
  <b:Source>
    <b:Tag>Mun18</b:Tag>
    <b:SourceType>JournalArticle</b:SourceType>
    <b:Guid>{FF995FEA-B266-4385-BAA7-1DCDF8BC4743}</b:Guid>
    <b:Title>Impact of Working Capital Management on Profitability and Value of the firm:A Study of Manufacturing sector of Pakistan</b:Title>
    <b:JournalName>IBT Journal of Business Studies</b:JournalName>
    <b:Year>2018</b:Year>
    <b:Pages>1-12</b:Pages>
    <b:Author>
      <b:Author>
        <b:NameList>
          <b:Person>
            <b:Last>Munawar</b:Last>
            <b:First>Shabbir</b:First>
          </b:Person>
          <b:Person>
            <b:Last>Umer</b:Last>
            <b:First>Iftikhar</b:First>
          </b:Person>
          <b:Person>
            <b:Last>Ahtesham</b:Last>
            <b:First>Ali Raja</b:First>
          </b:Person>
        </b:NameList>
      </b:Author>
    </b:Author>
    <b:RefOrder>139</b:RefOrder>
  </b:Source>
  <b:Source>
    <b:Tag>Hasl2</b:Tag>
    <b:SourceType>JournalArticle</b:SourceType>
    <b:Guid>{B92EA17F-1E4F-411F-BFB6-F2DD04318213}</b:Guid>
    <b:Title>The Dynamic Relationship between Working Capital Management and Financial Performance: Evidence from Asia</b:Title>
    <b:Year>2019</b:Year>
    <b:JournalName>Journal of Business and Economics</b:JournalName>
    <b:Pages>Vol 2, 75-85</b:Pages>
    <b:Author>
      <b:Author>
        <b:NameList>
          <b:Person>
            <b:Last>Hasan </b:Last>
            <b:First>Hanif</b:First>
          </b:Person>
          <b:Person>
            <b:Last>Syed Zain</b:Last>
            <b:First>Ul Abiden</b:First>
          </b:Person>
          <b:Person>
            <b:Last>Bushra Karim</b:Last>
            <b:First>Mirza</b:First>
          </b:Person>
        </b:NameList>
      </b:Author>
    </b:Author>
    <b:RefOrder>140</b:RefOrder>
  </b:Source>
  <b:Source>
    <b:Tag>Est17</b:Tag>
    <b:SourceType>JournalArticle</b:SourceType>
    <b:Guid>{24F8ED20-0A0E-4F65-A305-5F7B19DB278C}</b:Guid>
    <b:Title>Capital Expenditure and Firm Performance Evidence from Albanian Construction Sector</b:Title>
    <b:JournalName>European Science Journal</b:JournalName>
    <b:Year>2017</b:Year>
    <b:Pages>231-238</b:Pages>
    <b:Author>
      <b:Author>
        <b:NameList>
          <b:Person>
            <b:Last>Ester</b:Last>
            <b:First>T.</b:First>
          </b:Person>
          <b:Person>
            <b:Last>Ballkoci</b:Last>
            <b:First>V.</b:First>
          </b:Person>
        </b:NameList>
      </b:Author>
    </b:Author>
    <b:RefOrder>141</b:RefOrder>
  </b:Source>
  <b:Source>
    <b:Tag>Pen59</b:Tag>
    <b:SourceType>BookSection</b:SourceType>
    <b:Guid>{E6E8C33F-D054-4F75-AA6F-73FDF179227B}</b:Guid>
    <b:Year>1959</b:Year>
    <b:Author>
      <b:Author>
        <b:NameList>
          <b:Person>
            <b:Last>Penrose</b:Last>
            <b:First>E.</b:First>
          </b:Person>
        </b:NameList>
      </b:Author>
      <b:BookAuthor>
        <b:NameList>
          <b:Person>
            <b:Last>Penrose</b:Last>
          </b:Person>
        </b:NameList>
      </b:BookAuthor>
    </b:Author>
    <b:BookTitle>The Theory of the Growth of the Firm.</b:BookTitle>
    <b:City>U.K</b:City>
    <b:Publisher>Wiley</b:Publisher>
    <b:RefOrder>142</b:RefOrder>
  </b:Source>
  <b:Source>
    <b:Tag>Kir13</b:Tag>
    <b:SourceType>JournalArticle</b:SourceType>
    <b:Guid>{96A017B8-6CFD-440E-8EB9-0CEFD786BC34}</b:Guid>
    <b:Title>Trade-Off between Liquidity &amp; Profitability: A Study of Selected Manufacturing Firms in India</b:Title>
    <b:JournalName>International Journal of Scientific Research</b:JournalName>
    <b:Year>2013</b:Year>
    <b:Pages>29-31</b:Pages>
    <b:Author>
      <b:Author>
        <b:NameList>
          <b:Person>
            <b:Last>Kirit</b:Last>
            <b:First>R. Patel</b:First>
          </b:Person>
        </b:NameList>
      </b:Author>
    </b:Author>
    <b:RefOrder>143</b:RefOrder>
  </b:Source>
  <b:Source>
    <b:Tag>Kof21</b:Tag>
    <b:SourceType>JournalArticle</b:SourceType>
    <b:Guid>{BB84BA6F-6184-460A-9A4D-6BFF1D29C31B}</b:Guid>
    <b:Title>Working capital management and Profitability of listed manufacturing firms in Ghana</b:Title>
    <b:JournalName>International Journal of Productivity and Performance Management</b:JournalName>
    <b:Year>2021</b:Year>
    <b:Author>
      <b:Author>
        <b:NameList>
          <b:Person>
            <b:Last>Kofi</b:Last>
            <b:Middle>Kwatiah</b:Middle>
            <b:First>Amponsah</b:First>
          </b:Person>
          <b:Person>
            <b:Last>Micheal</b:Last>
            <b:First>Asiama</b:First>
          </b:Person>
        </b:NameList>
      </b:Author>
    </b:Author>
    <b:RefOrder>144</b:RefOrder>
  </b:Source>
  <b:Source>
    <b:Tag>Van21</b:Tag>
    <b:SourceType>JournalArticle</b:SourceType>
    <b:Guid>{701ACACE-590A-49BE-BB68-07B376EA6324}</b:Guid>
    <b:Title>Capital Investments and Manufacturing Firms’ Performance: Panel-Data Analysis</b:Title>
    <b:JournalName>Sustainability</b:JournalName>
    <b:Year>2020</b:Year>
    <b:Pages>1-18</b:Pages>
    <b:Author>
      <b:Author>
        <b:NameList>
          <b:Person>
            <b:Last>Vanja</b:Last>
            <b:First>Grozdic</b:First>
          </b:Person>
          <b:Person>
            <b:Last>Branislav</b:Last>
            <b:First>Maric</b:First>
          </b:Person>
          <b:Person>
            <b:Last>Mladen</b:Last>
            <b:First>Radisic</b:First>
          </b:Person>
          <b:Person>
            <b:Last>Jarmila</b:Last>
            <b:First>Sebestova</b:First>
          </b:Person>
          <b:Person>
            <b:Last>Marcin</b:Last>
            <b:First>Lis</b:First>
          </b:Person>
        </b:NameList>
      </b:Author>
    </b:Author>
    <b:RefOrder>145</b:RefOrder>
  </b:Source>
  <b:Source>
    <b:Tag>Jov14</b:Tag>
    <b:SourceType>JournalArticle</b:SourceType>
    <b:Guid>{0F256842-6A4A-427E-A5FD-C205864539AB}</b:Guid>
    <b:Title>Extensive and Intensive Investment over business cycles</b:Title>
    <b:JournalName>Journal of Policital Economics</b:JournalName>
    <b:Year>2014</b:Year>
    <b:Pages>863-908</b:Pages>
    <b:Author>
      <b:Author>
        <b:NameList>
          <b:Person>
            <b:Last>Jovanic</b:Last>
            <b:First>B.</b:First>
          </b:Person>
          <b:Person>
            <b:Last>Peter</b:Last>
            <b:First>L</b:First>
          </b:Person>
          <b:Person>
            <b:Last>Rousseu</b:Last>
          </b:Person>
        </b:NameList>
      </b:Author>
    </b:Author>
    <b:RefOrder>146</b:RefOrder>
  </b:Source>
  <b:Source>
    <b:Tag>Sin16</b:Tag>
    <b:SourceType>JournalArticle</b:SourceType>
    <b:Guid>{F30BF2DE-A661-412A-8710-A468A8A957A6}</b:Guid>
    <b:Title>Optimizing environmental expenditures for maximizing economic performance.</b:Title>
    <b:JournalName>Journal of Management Decisions</b:JournalName>
    <b:Year>2016</b:Year>
    <b:Pages>2544-2561</b:Pages>
    <b:Author>
      <b:Author>
        <b:NameList>
          <b:Person>
            <b:Last>Singh</b:Last>
            <b:First>N</b:First>
          </b:Person>
          <b:Person>
            <b:Last>Ma</b:Last>
            <b:First>J</b:First>
          </b:Person>
          <b:Person>
            <b:Last>Yang</b:Last>
            <b:First>J</b:First>
          </b:Person>
        </b:NameList>
      </b:Author>
    </b:Author>
    <b:RefOrder>147</b:RefOrder>
  </b:Source>
  <b:Source>
    <b:Tag>Akt15</b:Tag>
    <b:SourceType>JournalArticle</b:SourceType>
    <b:Guid>{BE9FAD60-6AA9-4D1A-8AA3-77B0DD86126F}</b:Guid>
    <b:Title>Is working capital management value enchancing? Evidence from the firm's performance and investment</b:Title>
    <b:JournalName>Journal of Corporate Finance</b:JournalName>
    <b:Year>2015</b:Year>
    <b:Pages>98-113</b:Pages>
    <b:Author>
      <b:Author>
        <b:NameList>
          <b:Person>
            <b:Last>Aktas</b:Last>
            <b:First>N</b:First>
          </b:Person>
          <b:Person>
            <b:Last>Croci</b:Last>
            <b:First>E</b:First>
          </b:Person>
          <b:Person>
            <b:Last>Petmezas</b:Last>
            <b:First>D</b:First>
          </b:Person>
        </b:NameList>
      </b:Author>
    </b:Author>
    <b:RefOrder>148</b:RefOrder>
  </b:Source>
  <b:Source>
    <b:Tag>Gra16</b:Tag>
    <b:SourceType>JournalArticle</b:SourceType>
    <b:Guid>{8DA480A0-5524-41AC-9297-D1E0B759BDB8}</b:Guid>
    <b:Title>Dynamics of investment and firm performance: Comparative evidence from manufacturing industries</b:Title>
    <b:JournalName>Empirical Economics</b:JournalName>
    <b:Year>2016</b:Year>
    <b:Pages>125-179</b:Pages>
    <b:Author>
      <b:Author>
        <b:NameList>
          <b:Person>
            <b:Last>Grazzi</b:Last>
            <b:First>M</b:First>
          </b:Person>
          <b:Person>
            <b:Last>Nadia</b:Last>
            <b:First>J</b:First>
          </b:Person>
          <b:Person>
            <b:Last>Tania</b:Last>
            <b:First>T</b:First>
          </b:Person>
        </b:NameList>
      </b:Author>
    </b:Author>
    <b:RefOrder>149</b:RefOrder>
  </b:Source>
  <b:Source>
    <b:Tag>YuX17</b:Tag>
    <b:SourceType>JournalArticle</b:SourceType>
    <b:Guid>{0363D1CF-94CD-4E50-8B69-3BBA860B2262}</b:Guid>
    <b:Title>Inside the virtuous circle between productivity, profitability, investment and corporate growth: An anatomy of Chinese Industrialization</b:Title>
    <b:JournalName>Res. Policy</b:JournalName>
    <b:Year>2017</b:Year>
    <b:Pages>1020-1038</b:Pages>
    <b:Author>
      <b:Author>
        <b:NameList>
          <b:Person>
            <b:Last>Yu</b:Last>
            <b:First>X</b:First>
          </b:Person>
          <b:Person>
            <b:Last>Dosi</b:Last>
            <b:First>G</b:First>
          </b:Person>
          <b:Person>
            <b:Last>Grazzi</b:Last>
            <b:First>M</b:First>
          </b:Person>
          <b:Person>
            <b:Last>Lei</b:Last>
            <b:First>J</b:First>
          </b:Person>
        </b:NameList>
      </b:Author>
    </b:Author>
    <b:RefOrder>150</b:RefOrder>
  </b:Source>
  <b:Source>
    <b:Tag>Tri17</b:Tag>
    <b:SourceType>JournalArticle</b:SourceType>
    <b:Guid>{B1CF0B54-D889-49C7-91C0-B8B26B1F913E}</b:Guid>
    <b:Title>Capital Expenditures and Revenue Expenditure</b:Title>
    <b:JournalName>Journal Riset Akuntasi</b:JournalName>
    <b:Year>2017</b:Year>
    <b:Author>
      <b:Author>
        <b:NameList>
          <b:Person>
            <b:Last>Trifosa</b:Last>
            <b:Middle>Kalungan</b:Middle>
            <b:First>Ryna</b:First>
          </b:Person>
          <b:Person>
            <b:Last>Ventje</b:Last>
            <b:First>Ilat</b:First>
          </b:Person>
          <b:Person>
            <b:Last>Hendrik</b:Last>
            <b:First>Gamaliel</b:First>
          </b:Person>
        </b:NameList>
      </b:Author>
    </b:Author>
    <b:RefOrder>151</b:RefOrder>
  </b:Source>
  <b:Source>
    <b:Tag>Ake19</b:Tag>
    <b:SourceType>Report</b:SourceType>
    <b:Guid>{72BDFBF7-F52F-4420-8725-F77821857E8F}</b:Guid>
    <b:Title>The impact of working capital management on the profitability of manufacturing companies listed on the Ghana Stock Exchange</b:Title>
    <b:Year>2019</b:Year>
    <b:Author>
      <b:Author>
        <b:NameList>
          <b:Person>
            <b:Last>Akey</b:Last>
          </b:Person>
        </b:NameList>
      </b:Author>
    </b:Author>
    <b:Publisher>University of Ghana, UG space, Accra, Ghana</b:Publisher>
    <b:RefOrder>152</b:RefOrder>
  </b:Source>
  <b:Source>
    <b:Tag>Sam18</b:Tag>
    <b:SourceType>JournalArticle</b:SourceType>
    <b:Guid>{73D23A71-FC07-4BE1-A409-E6E25AF32E99}</b:Guid>
    <b:Title>Effect of working capital management on profitability in emerging countries: Evidence from Turkey</b:Title>
    <b:Year>2018</b:Year>
    <b:JournalName>Financial Management from an Emerging Market Perspective</b:JournalName>
    <b:Author>
      <b:Author>
        <b:NameList>
          <b:Person>
            <b:Last>Samet</b:Last>
            <b:First>Evci</b:First>
          </b:Person>
          <b:Person>
            <b:Last>Nazan</b:Last>
            <b:First>Sak</b:First>
          </b:Person>
        </b:NameList>
      </b:Author>
    </b:Author>
    <b:RefOrder>153</b:RefOrder>
  </b:Source>
  <b:Source>
    <b:Tag>Tin18</b:Tag>
    <b:SourceType>JournalArticle</b:SourceType>
    <b:Guid>{CC639C7F-E78A-4BF0-8927-F7F0063A6A0B}</b:Guid>
    <b:Title>Working Capital Management and Firm's Performance in China</b:Title>
    <b:JournalName>Asian Review of Accounting</b:JournalName>
    <b:Year>2018</b:Year>
    <b:Pages>546-562</b:Pages>
    <b:Author>
      <b:Author>
        <b:NameList>
          <b:Person>
            <b:Last>Ting Ren</b:Last>
            <b:First>Nan Liu</b:First>
          </b:Person>
          <b:Person>
            <b:Last>Hongyan</b:Last>
            <b:First>Yang</b:First>
          </b:Person>
          <b:Person>
            <b:Last>Youzhi</b:Last>
            <b:First>Xao</b:First>
          </b:Person>
          <b:Person>
            <b:Last>Yijhun</b:Last>
            <b:First>Hu</b:First>
          </b:Person>
        </b:NameList>
      </b:Author>
    </b:Author>
    <b:RefOrder>154</b:RefOrder>
  </b:Source>
  <b:Source>
    <b:Tag>Els19</b:Tag>
    <b:SourceType>JournalArticle</b:SourceType>
    <b:Guid>{F5D6ADCF-CEE8-447D-B916-293DC6BB57D6}</b:Guid>
    <b:Title>THE EFFECT OF WORKING CAPITAL ROUND, SALES GROWTH AND LIQUIDITY  ON CORPORATE PROFITABILITY: Case study of food and beverage companies listed on the Indonesia Stock Exchange for the period of 2014-2018)</b:Title>
    <b:JournalName>Journal of Reseacrh in Business, Economics, and Education</b:JournalName>
    <b:Year>2019</b:Year>
    <b:Pages>204-216</b:Pages>
    <b:Author>
      <b:Author>
        <b:NameList>
          <b:Person>
            <b:Last>Elsye</b:Last>
            <b:First> Fatmawati</b:First>
          </b:Person>
        </b:NameList>
      </b:Author>
    </b:Author>
    <b:RefOrder>155</b:RefOrder>
  </b:Source>
</b:Sources>
</file>

<file path=customXml/itemProps1.xml><?xml version="1.0" encoding="utf-8"?>
<ds:datastoreItem xmlns:ds="http://schemas.openxmlformats.org/officeDocument/2006/customXml" ds:itemID="{97F431CC-34C9-4B3D-BE12-675D4423A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14214</TotalTime>
  <Pages>18</Pages>
  <Words>21419</Words>
  <Characters>122094</Characters>
  <Application>Microsoft Office Word</Application>
  <DocSecurity>0</DocSecurity>
  <Lines>1017</Lines>
  <Paragraphs>286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waleed john</dc:creator>
  <cp:keywords/>
  <dc:description/>
  <cp:lastModifiedBy>Azhar Bhatti</cp:lastModifiedBy>
  <cp:revision>323</cp:revision>
  <cp:lastPrinted>2023-12-29T20:56:00Z</cp:lastPrinted>
  <dcterms:created xsi:type="dcterms:W3CDTF">2021-09-17T12:56:00Z</dcterms:created>
  <dcterms:modified xsi:type="dcterms:W3CDTF">2023-12-31T09:27:00Z</dcterms:modified>
</cp:coreProperties>
</file>